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B0A7" w14:textId="77777777" w:rsidR="00710DA2" w:rsidRDefault="00522414" w:rsidP="00710DA2">
      <w:pPr>
        <w:pStyle w:val="BodyText"/>
        <w:spacing w:before="62" w:line="410" w:lineRule="auto"/>
        <w:ind w:left="220" w:right="7527"/>
        <w:rPr>
          <w:lang w:val="en-GB"/>
        </w:rPr>
      </w:pPr>
      <w:r w:rsidRPr="00B052BF">
        <w:rPr>
          <w:lang w:val="en-GB"/>
        </w:rPr>
        <w:t>Press</w:t>
      </w:r>
      <w:r w:rsidRPr="00B052BF">
        <w:rPr>
          <w:spacing w:val="-14"/>
          <w:lang w:val="en-GB"/>
        </w:rPr>
        <w:t xml:space="preserve"> </w:t>
      </w:r>
      <w:r w:rsidRPr="00B052BF">
        <w:rPr>
          <w:lang w:val="en-GB"/>
        </w:rPr>
        <w:t>Release</w:t>
      </w:r>
      <w:r w:rsidR="00710DA2">
        <w:rPr>
          <w:lang w:val="en-GB"/>
        </w:rPr>
        <w:t xml:space="preserve"> </w:t>
      </w:r>
    </w:p>
    <w:p w14:paraId="74CAF411" w14:textId="0108B548" w:rsidR="008D46A2" w:rsidRPr="00B052BF" w:rsidRDefault="00055232" w:rsidP="00055232">
      <w:pPr>
        <w:pStyle w:val="BodyText"/>
        <w:spacing w:before="62" w:line="410" w:lineRule="auto"/>
        <w:ind w:left="220" w:right="7527"/>
        <w:rPr>
          <w:lang w:val="en-GB"/>
        </w:rPr>
      </w:pPr>
      <w:r w:rsidRPr="00464818">
        <w:rPr>
          <w:lang w:val="en-GB"/>
        </w:rPr>
        <w:t>3</w:t>
      </w:r>
      <w:r w:rsidR="00FA7B59" w:rsidRPr="00464818">
        <w:rPr>
          <w:lang w:val="en-GB"/>
        </w:rPr>
        <w:t>0</w:t>
      </w:r>
      <w:r w:rsidR="00522414" w:rsidRPr="00464818">
        <w:rPr>
          <w:lang w:val="en-GB"/>
        </w:rPr>
        <w:t xml:space="preserve"> May</w:t>
      </w:r>
      <w:r w:rsidR="00710DA2" w:rsidRPr="00464818">
        <w:rPr>
          <w:lang w:val="en-GB"/>
        </w:rPr>
        <w:t xml:space="preserve"> </w:t>
      </w:r>
      <w:r w:rsidR="00522414" w:rsidRPr="00464818">
        <w:rPr>
          <w:spacing w:val="-4"/>
          <w:lang w:val="en-GB"/>
        </w:rPr>
        <w:t>202</w:t>
      </w:r>
      <w:r w:rsidR="00710DA2" w:rsidRPr="00464818">
        <w:rPr>
          <w:spacing w:val="-4"/>
          <w:lang w:val="en-GB"/>
        </w:rPr>
        <w:t>3</w:t>
      </w:r>
    </w:p>
    <w:p w14:paraId="2902309B" w14:textId="77777777" w:rsidR="008D46A2" w:rsidRPr="00B052BF" w:rsidRDefault="008D46A2">
      <w:pPr>
        <w:pStyle w:val="BodyText"/>
        <w:spacing w:before="9"/>
        <w:rPr>
          <w:sz w:val="29"/>
          <w:lang w:val="en-GB"/>
        </w:rPr>
      </w:pPr>
    </w:p>
    <w:p w14:paraId="540F6AAC" w14:textId="77777777" w:rsidR="008D46A2" w:rsidRPr="00B052BF" w:rsidRDefault="00522414">
      <w:pPr>
        <w:pStyle w:val="Heading1"/>
        <w:spacing w:before="91"/>
        <w:ind w:left="3030" w:right="2931"/>
        <w:jc w:val="center"/>
        <w:rPr>
          <w:lang w:val="en-GB"/>
        </w:rPr>
      </w:pPr>
      <w:r w:rsidRPr="00B052BF">
        <w:rPr>
          <w:lang w:val="en-GB"/>
        </w:rPr>
        <w:t>Clarify</w:t>
      </w:r>
      <w:r w:rsidRPr="00B052BF">
        <w:rPr>
          <w:spacing w:val="-4"/>
          <w:lang w:val="en-GB"/>
        </w:rPr>
        <w:t xml:space="preserve"> </w:t>
      </w:r>
      <w:r w:rsidRPr="00B052BF">
        <w:rPr>
          <w:lang w:val="en-GB"/>
        </w:rPr>
        <w:t>Pharma</w:t>
      </w:r>
      <w:r w:rsidRPr="00B052BF">
        <w:rPr>
          <w:spacing w:val="-3"/>
          <w:lang w:val="en-GB"/>
        </w:rPr>
        <w:t xml:space="preserve"> </w:t>
      </w:r>
      <w:r w:rsidRPr="00B052BF">
        <w:rPr>
          <w:spacing w:val="-5"/>
          <w:lang w:val="en-GB"/>
        </w:rPr>
        <w:t>PLC</w:t>
      </w:r>
    </w:p>
    <w:p w14:paraId="6E7C2372" w14:textId="77777777" w:rsidR="008D46A2" w:rsidRPr="00B052BF" w:rsidRDefault="00522414">
      <w:pPr>
        <w:pStyle w:val="BodyText"/>
        <w:spacing w:before="182"/>
        <w:ind w:left="3030" w:right="2934"/>
        <w:jc w:val="center"/>
        <w:rPr>
          <w:lang w:val="en-GB"/>
        </w:rPr>
      </w:pPr>
      <w:r w:rsidRPr="00B052BF">
        <w:rPr>
          <w:lang w:val="en-GB"/>
        </w:rPr>
        <w:t>("Clarify</w:t>
      </w:r>
      <w:r w:rsidRPr="00B052BF">
        <w:rPr>
          <w:spacing w:val="-5"/>
          <w:lang w:val="en-GB"/>
        </w:rPr>
        <w:t xml:space="preserve"> </w:t>
      </w:r>
      <w:r w:rsidRPr="00B052BF">
        <w:rPr>
          <w:lang w:val="en-GB"/>
        </w:rPr>
        <w:t>Pharma"</w:t>
      </w:r>
      <w:r w:rsidRPr="00B052BF">
        <w:rPr>
          <w:spacing w:val="-4"/>
          <w:lang w:val="en-GB"/>
        </w:rPr>
        <w:t xml:space="preserve"> </w:t>
      </w:r>
      <w:r w:rsidRPr="00B052BF">
        <w:rPr>
          <w:lang w:val="en-GB"/>
        </w:rPr>
        <w:t>or</w:t>
      </w:r>
      <w:r w:rsidRPr="00B052BF">
        <w:rPr>
          <w:spacing w:val="-4"/>
          <w:lang w:val="en-GB"/>
        </w:rPr>
        <w:t xml:space="preserve"> </w:t>
      </w:r>
      <w:r w:rsidRPr="00B052BF">
        <w:rPr>
          <w:lang w:val="en-GB"/>
        </w:rPr>
        <w:t>"The</w:t>
      </w:r>
      <w:r w:rsidRPr="00B052BF">
        <w:rPr>
          <w:spacing w:val="-6"/>
          <w:lang w:val="en-GB"/>
        </w:rPr>
        <w:t xml:space="preserve"> </w:t>
      </w:r>
      <w:r w:rsidRPr="00B052BF">
        <w:rPr>
          <w:spacing w:val="-2"/>
          <w:lang w:val="en-GB"/>
        </w:rPr>
        <w:t>Company")</w:t>
      </w:r>
    </w:p>
    <w:p w14:paraId="2B68B9E3" w14:textId="77777777" w:rsidR="008D46A2" w:rsidRPr="00B052BF" w:rsidRDefault="008D46A2">
      <w:pPr>
        <w:pStyle w:val="BodyText"/>
        <w:rPr>
          <w:sz w:val="24"/>
          <w:lang w:val="en-GB"/>
        </w:rPr>
      </w:pPr>
    </w:p>
    <w:p w14:paraId="6BAFFB79" w14:textId="77777777" w:rsidR="008D46A2" w:rsidRPr="00B052BF" w:rsidRDefault="008D46A2">
      <w:pPr>
        <w:pStyle w:val="BodyText"/>
        <w:spacing w:before="4"/>
        <w:rPr>
          <w:sz w:val="29"/>
          <w:lang w:val="en-GB"/>
        </w:rPr>
      </w:pPr>
    </w:p>
    <w:p w14:paraId="594F5222" w14:textId="77777777" w:rsidR="008D46A2" w:rsidRPr="00B052BF" w:rsidRDefault="00522414">
      <w:pPr>
        <w:pStyle w:val="Heading1"/>
        <w:ind w:left="3030" w:right="2929"/>
        <w:jc w:val="center"/>
        <w:rPr>
          <w:lang w:val="en-GB"/>
        </w:rPr>
      </w:pPr>
      <w:r w:rsidRPr="00B052BF">
        <w:rPr>
          <w:lang w:val="en-GB"/>
        </w:rPr>
        <w:t>Full</w:t>
      </w:r>
      <w:r w:rsidRPr="00B052BF">
        <w:rPr>
          <w:spacing w:val="-2"/>
          <w:lang w:val="en-GB"/>
        </w:rPr>
        <w:t xml:space="preserve"> </w:t>
      </w:r>
      <w:r w:rsidRPr="00B052BF">
        <w:rPr>
          <w:lang w:val="en-GB"/>
        </w:rPr>
        <w:t>Year</w:t>
      </w:r>
      <w:r w:rsidRPr="00B052BF">
        <w:rPr>
          <w:spacing w:val="-2"/>
          <w:lang w:val="en-GB"/>
        </w:rPr>
        <w:t xml:space="preserve"> Results</w:t>
      </w:r>
    </w:p>
    <w:p w14:paraId="530EC1E2" w14:textId="77777777" w:rsidR="008D46A2" w:rsidRPr="00B052BF" w:rsidRDefault="008D46A2">
      <w:pPr>
        <w:pStyle w:val="BodyText"/>
        <w:rPr>
          <w:b/>
          <w:sz w:val="24"/>
          <w:lang w:val="en-GB"/>
        </w:rPr>
      </w:pPr>
    </w:p>
    <w:p w14:paraId="7830EBA4" w14:textId="77777777" w:rsidR="008D46A2" w:rsidRPr="00B052BF" w:rsidRDefault="008D46A2">
      <w:pPr>
        <w:pStyle w:val="BodyText"/>
        <w:spacing w:before="1"/>
        <w:rPr>
          <w:b/>
          <w:sz w:val="29"/>
          <w:lang w:val="en-GB"/>
        </w:rPr>
      </w:pPr>
    </w:p>
    <w:p w14:paraId="07CCEC0A" w14:textId="77777777" w:rsidR="008D46A2" w:rsidRPr="00B052BF" w:rsidRDefault="00522414">
      <w:pPr>
        <w:pStyle w:val="BodyText"/>
        <w:spacing w:line="259" w:lineRule="auto"/>
        <w:ind w:left="220" w:right="116"/>
        <w:jc w:val="both"/>
        <w:rPr>
          <w:lang w:val="en-GB"/>
        </w:rPr>
      </w:pPr>
      <w:r w:rsidRPr="00B052BF">
        <w:rPr>
          <w:lang w:val="en-GB"/>
        </w:rPr>
        <w:t>Clarify Pharma (AQSE: PSYC), an investment vehicle specialising in biotech and life sciences companies seeking to prove the safety and efficacy of psychedelic-based substances, announces its audited financial results for the twelve months ended 30 November 202</w:t>
      </w:r>
      <w:r w:rsidR="00054980" w:rsidRPr="00B052BF">
        <w:rPr>
          <w:lang w:val="en-GB"/>
        </w:rPr>
        <w:t>2</w:t>
      </w:r>
      <w:r w:rsidRPr="00B052BF">
        <w:rPr>
          <w:lang w:val="en-GB"/>
        </w:rPr>
        <w:t>.</w:t>
      </w:r>
    </w:p>
    <w:p w14:paraId="5B88000A" w14:textId="77777777" w:rsidR="00054980" w:rsidRPr="00B052BF" w:rsidRDefault="00054980">
      <w:pPr>
        <w:pStyle w:val="BodyText"/>
        <w:spacing w:line="259" w:lineRule="auto"/>
        <w:ind w:left="220" w:right="116"/>
        <w:jc w:val="both"/>
        <w:rPr>
          <w:lang w:val="en-GB"/>
        </w:rPr>
      </w:pPr>
    </w:p>
    <w:p w14:paraId="0B76799F" w14:textId="126EBF15" w:rsidR="00054980" w:rsidRPr="00B052BF" w:rsidRDefault="00054980">
      <w:pPr>
        <w:pStyle w:val="BodyText"/>
        <w:spacing w:line="259" w:lineRule="auto"/>
        <w:ind w:left="220" w:right="116"/>
        <w:jc w:val="both"/>
        <w:rPr>
          <w:lang w:val="en-GB"/>
        </w:rPr>
      </w:pPr>
      <w:r w:rsidRPr="00B052BF">
        <w:rPr>
          <w:lang w:val="en-GB"/>
        </w:rPr>
        <w:t>The Company is an Investment Company and has not divested any of its investments since IPO and continues to hold its one private investment</w:t>
      </w:r>
      <w:r w:rsidR="009C0161">
        <w:rPr>
          <w:lang w:val="en-GB"/>
        </w:rPr>
        <w:t xml:space="preserve">: </w:t>
      </w:r>
      <w:r w:rsidRPr="00B052BF">
        <w:rPr>
          <w:lang w:val="en-GB"/>
        </w:rPr>
        <w:t xml:space="preserve">Beckley </w:t>
      </w:r>
      <w:proofErr w:type="spellStart"/>
      <w:r w:rsidRPr="00B052BF">
        <w:rPr>
          <w:lang w:val="en-GB"/>
        </w:rPr>
        <w:t>Psytech</w:t>
      </w:r>
      <w:proofErr w:type="spellEnd"/>
      <w:r w:rsidRPr="00B052BF">
        <w:rPr>
          <w:lang w:val="en-GB"/>
        </w:rPr>
        <w:t xml:space="preserve"> Ltd</w:t>
      </w:r>
      <w:r w:rsidR="00B052BF">
        <w:rPr>
          <w:lang w:val="en-GB"/>
        </w:rPr>
        <w:t>.</w:t>
      </w:r>
    </w:p>
    <w:p w14:paraId="5B247126" w14:textId="77777777" w:rsidR="00054980" w:rsidRPr="00B052BF" w:rsidRDefault="00054980">
      <w:pPr>
        <w:pStyle w:val="BodyText"/>
        <w:spacing w:line="259" w:lineRule="auto"/>
        <w:ind w:left="220" w:right="116"/>
        <w:jc w:val="both"/>
        <w:rPr>
          <w:lang w:val="en-GB"/>
        </w:rPr>
      </w:pPr>
    </w:p>
    <w:p w14:paraId="201594F9" w14:textId="3CC84FCB" w:rsidR="00054980" w:rsidRPr="00B052BF" w:rsidRDefault="00054980">
      <w:pPr>
        <w:pStyle w:val="BodyText"/>
        <w:spacing w:line="259" w:lineRule="auto"/>
        <w:ind w:left="220" w:right="116"/>
        <w:jc w:val="both"/>
        <w:rPr>
          <w:lang w:val="en-GB"/>
        </w:rPr>
      </w:pPr>
      <w:r w:rsidRPr="00B052BF">
        <w:rPr>
          <w:lang w:val="en-GB"/>
        </w:rPr>
        <w:t xml:space="preserve">During the year the Company invested further into the sector by taking equity positions in two NASDAQ-listed companies; </w:t>
      </w:r>
      <w:proofErr w:type="spellStart"/>
      <w:r w:rsidRPr="00B052BF">
        <w:rPr>
          <w:lang w:val="en-GB"/>
        </w:rPr>
        <w:t>Atai</w:t>
      </w:r>
      <w:proofErr w:type="spellEnd"/>
      <w:r w:rsidRPr="00B052BF">
        <w:rPr>
          <w:lang w:val="en-GB"/>
        </w:rPr>
        <w:t xml:space="preserve"> Life Sciences (ATAI) and Compass Pathways (CMPS) which the Directors feel represent opportunities to increase the Company’s exposure to the sector</w:t>
      </w:r>
      <w:r w:rsidR="00CD167E">
        <w:rPr>
          <w:lang w:val="en-GB"/>
        </w:rPr>
        <w:t>.</w:t>
      </w:r>
    </w:p>
    <w:p w14:paraId="403DC4E3" w14:textId="77777777" w:rsidR="008D46A2" w:rsidRPr="00B052BF" w:rsidRDefault="008D46A2">
      <w:pPr>
        <w:pStyle w:val="BodyText"/>
        <w:spacing w:before="4"/>
        <w:rPr>
          <w:sz w:val="29"/>
          <w:lang w:val="en-GB"/>
        </w:rPr>
      </w:pPr>
    </w:p>
    <w:p w14:paraId="1CB71767" w14:textId="77777777" w:rsidR="008D46A2" w:rsidRPr="00B052BF" w:rsidRDefault="00522414">
      <w:pPr>
        <w:pStyle w:val="Heading1"/>
        <w:rPr>
          <w:lang w:val="en-GB"/>
        </w:rPr>
      </w:pPr>
      <w:r w:rsidRPr="00B052BF">
        <w:rPr>
          <w:spacing w:val="-2"/>
          <w:lang w:val="en-GB"/>
        </w:rPr>
        <w:t>Outlook:</w:t>
      </w:r>
    </w:p>
    <w:p w14:paraId="37098337" w14:textId="2FFB07E4" w:rsidR="008D46A2" w:rsidRPr="00B052BF" w:rsidRDefault="00054980" w:rsidP="00055232">
      <w:pPr>
        <w:pStyle w:val="ListParagraph"/>
        <w:tabs>
          <w:tab w:val="left" w:pos="372"/>
        </w:tabs>
        <w:spacing w:line="256" w:lineRule="auto"/>
        <w:ind w:right="122"/>
        <w:rPr>
          <w:lang w:val="en-GB"/>
        </w:rPr>
      </w:pPr>
      <w:r w:rsidRPr="00B052BF">
        <w:rPr>
          <w:lang w:val="en-GB"/>
        </w:rPr>
        <w:t xml:space="preserve">Whilst the psychedelic-focused biotech and life sciences sector has not </w:t>
      </w:r>
      <w:r w:rsidR="00634ECC" w:rsidRPr="00B052BF">
        <w:rPr>
          <w:lang w:val="en-GB"/>
        </w:rPr>
        <w:t>generated attractive returns in the period, the Directors believe that the market fundamentals suggest the sector will develop significantly along with the regulatory environment</w:t>
      </w:r>
      <w:r w:rsidR="00E008BF">
        <w:rPr>
          <w:lang w:val="en-GB"/>
        </w:rPr>
        <w:t>.</w:t>
      </w:r>
    </w:p>
    <w:p w14:paraId="02FBA2AF" w14:textId="77777777" w:rsidR="008D46A2" w:rsidRPr="00B052BF" w:rsidRDefault="00522414">
      <w:pPr>
        <w:pStyle w:val="BodyText"/>
        <w:spacing w:before="159" w:line="259" w:lineRule="auto"/>
        <w:ind w:left="220" w:right="115"/>
        <w:jc w:val="both"/>
        <w:rPr>
          <w:lang w:val="en-GB"/>
        </w:rPr>
      </w:pPr>
      <w:r w:rsidRPr="00B052BF">
        <w:rPr>
          <w:lang w:val="en-GB"/>
        </w:rPr>
        <w:t>Commenting on the results, Jonathan Bixby, Executive Director of Clarify Pharma, said: “Within the twelve months prior to 30 November 202</w:t>
      </w:r>
      <w:r w:rsidR="00634ECC" w:rsidRPr="00B052BF">
        <w:rPr>
          <w:lang w:val="en-GB"/>
        </w:rPr>
        <w:t>2</w:t>
      </w:r>
      <w:r w:rsidRPr="00B052BF">
        <w:rPr>
          <w:lang w:val="en-GB"/>
        </w:rPr>
        <w:t xml:space="preserve">, Clarify Pharma </w:t>
      </w:r>
      <w:r w:rsidR="00634ECC" w:rsidRPr="00B052BF">
        <w:rPr>
          <w:lang w:val="en-GB"/>
        </w:rPr>
        <w:t xml:space="preserve">increased exposure to the sector by investing in listed companies. We remain confident that our early-stage investment in Beckley </w:t>
      </w:r>
      <w:proofErr w:type="spellStart"/>
      <w:r w:rsidR="00634ECC" w:rsidRPr="00B052BF">
        <w:rPr>
          <w:lang w:val="en-GB"/>
        </w:rPr>
        <w:t>Psytech</w:t>
      </w:r>
      <w:proofErr w:type="spellEnd"/>
      <w:r w:rsidR="00634ECC" w:rsidRPr="00B052BF">
        <w:rPr>
          <w:lang w:val="en-GB"/>
        </w:rPr>
        <w:t xml:space="preserve"> Ltd will generate attractive returns.</w:t>
      </w:r>
      <w:r w:rsidRPr="00B052BF">
        <w:rPr>
          <w:spacing w:val="-6"/>
          <w:lang w:val="en-GB"/>
        </w:rPr>
        <w:t xml:space="preserve"> </w:t>
      </w:r>
      <w:r w:rsidRPr="00B052BF">
        <w:rPr>
          <w:lang w:val="en-GB"/>
        </w:rPr>
        <w:t xml:space="preserve">We look forward to the continued growth of confidence among investors in this nascent </w:t>
      </w:r>
      <w:r w:rsidRPr="00B052BF">
        <w:rPr>
          <w:spacing w:val="-2"/>
          <w:lang w:val="en-GB"/>
        </w:rPr>
        <w:t>sector.”</w:t>
      </w:r>
    </w:p>
    <w:p w14:paraId="0A9CD4EA" w14:textId="77777777" w:rsidR="00634ECC" w:rsidRPr="00B052BF" w:rsidRDefault="00522414">
      <w:pPr>
        <w:pStyle w:val="BodyText"/>
        <w:spacing w:before="159" w:line="412" w:lineRule="auto"/>
        <w:ind w:left="220" w:right="2065"/>
        <w:jc w:val="both"/>
        <w:rPr>
          <w:lang w:val="en-GB"/>
        </w:rPr>
      </w:pPr>
      <w:r w:rsidRPr="00B052BF">
        <w:rPr>
          <w:lang w:val="en-GB"/>
        </w:rPr>
        <w:t>The</w:t>
      </w:r>
      <w:r w:rsidRPr="00B052BF">
        <w:rPr>
          <w:spacing w:val="-4"/>
          <w:lang w:val="en-GB"/>
        </w:rPr>
        <w:t xml:space="preserve"> </w:t>
      </w:r>
      <w:r w:rsidRPr="00B052BF">
        <w:rPr>
          <w:lang w:val="en-GB"/>
        </w:rPr>
        <w:t>directors</w:t>
      </w:r>
      <w:r w:rsidRPr="00B052BF">
        <w:rPr>
          <w:spacing w:val="-4"/>
          <w:lang w:val="en-GB"/>
        </w:rPr>
        <w:t xml:space="preserve"> </w:t>
      </w:r>
      <w:r w:rsidRPr="00B052BF">
        <w:rPr>
          <w:lang w:val="en-GB"/>
        </w:rPr>
        <w:t>of</w:t>
      </w:r>
      <w:r w:rsidRPr="00B052BF">
        <w:rPr>
          <w:spacing w:val="-4"/>
          <w:lang w:val="en-GB"/>
        </w:rPr>
        <w:t xml:space="preserve"> </w:t>
      </w:r>
      <w:r w:rsidRPr="00B052BF">
        <w:rPr>
          <w:lang w:val="en-GB"/>
        </w:rPr>
        <w:t>Clarify</w:t>
      </w:r>
      <w:r w:rsidRPr="00B052BF">
        <w:rPr>
          <w:spacing w:val="-4"/>
          <w:lang w:val="en-GB"/>
        </w:rPr>
        <w:t xml:space="preserve"> </w:t>
      </w:r>
      <w:r w:rsidRPr="00B052BF">
        <w:rPr>
          <w:lang w:val="en-GB"/>
        </w:rPr>
        <w:t>Pharma</w:t>
      </w:r>
      <w:r w:rsidRPr="00B052BF">
        <w:rPr>
          <w:spacing w:val="-4"/>
          <w:lang w:val="en-GB"/>
        </w:rPr>
        <w:t xml:space="preserve"> </w:t>
      </w:r>
      <w:r w:rsidRPr="00B052BF">
        <w:rPr>
          <w:lang w:val="en-GB"/>
        </w:rPr>
        <w:t>plc</w:t>
      </w:r>
      <w:r w:rsidRPr="00B052BF">
        <w:rPr>
          <w:spacing w:val="-4"/>
          <w:lang w:val="en-GB"/>
        </w:rPr>
        <w:t xml:space="preserve"> </w:t>
      </w:r>
      <w:r w:rsidRPr="00B052BF">
        <w:rPr>
          <w:lang w:val="en-GB"/>
        </w:rPr>
        <w:t>accept</w:t>
      </w:r>
      <w:r w:rsidRPr="00B052BF">
        <w:rPr>
          <w:spacing w:val="-3"/>
          <w:lang w:val="en-GB"/>
        </w:rPr>
        <w:t xml:space="preserve"> </w:t>
      </w:r>
      <w:r w:rsidRPr="00B052BF">
        <w:rPr>
          <w:lang w:val="en-GB"/>
        </w:rPr>
        <w:t>responsibility</w:t>
      </w:r>
      <w:r w:rsidRPr="00B052BF">
        <w:rPr>
          <w:spacing w:val="-7"/>
          <w:lang w:val="en-GB"/>
        </w:rPr>
        <w:t xml:space="preserve"> </w:t>
      </w:r>
      <w:r w:rsidRPr="00B052BF">
        <w:rPr>
          <w:lang w:val="en-GB"/>
        </w:rPr>
        <w:t>for</w:t>
      </w:r>
      <w:r w:rsidRPr="00B052BF">
        <w:rPr>
          <w:spacing w:val="-6"/>
          <w:lang w:val="en-GB"/>
        </w:rPr>
        <w:t xml:space="preserve"> </w:t>
      </w:r>
      <w:r w:rsidRPr="00B052BF">
        <w:rPr>
          <w:lang w:val="en-GB"/>
        </w:rPr>
        <w:t>this</w:t>
      </w:r>
      <w:r w:rsidRPr="00B052BF">
        <w:rPr>
          <w:spacing w:val="-4"/>
          <w:lang w:val="en-GB"/>
        </w:rPr>
        <w:t xml:space="preserve"> </w:t>
      </w:r>
      <w:r w:rsidRPr="00B052BF">
        <w:rPr>
          <w:lang w:val="en-GB"/>
        </w:rPr>
        <w:t xml:space="preserve">announcement. </w:t>
      </w:r>
    </w:p>
    <w:p w14:paraId="3DA0D779" w14:textId="5056DDFF" w:rsidR="00634ECC" w:rsidRPr="00B052BF" w:rsidRDefault="00634ECC" w:rsidP="00055232">
      <w:pPr>
        <w:pStyle w:val="BodyText"/>
        <w:spacing w:line="412" w:lineRule="auto"/>
        <w:ind w:left="220" w:right="156"/>
        <w:jc w:val="both"/>
        <w:rPr>
          <w:lang w:val="en-GB"/>
        </w:rPr>
      </w:pPr>
      <w:r w:rsidRPr="00B052BF">
        <w:rPr>
          <w:lang w:val="en-GB"/>
        </w:rPr>
        <w:t xml:space="preserve">The Company’s audited financial results for the </w:t>
      </w:r>
      <w:r w:rsidR="00D0539A">
        <w:rPr>
          <w:lang w:val="en-GB"/>
        </w:rPr>
        <w:t>12-month</w:t>
      </w:r>
      <w:r w:rsidRPr="00B052BF">
        <w:rPr>
          <w:lang w:val="en-GB"/>
        </w:rPr>
        <w:t xml:space="preserve"> period to 30 November</w:t>
      </w:r>
      <w:r w:rsidR="00D0539A">
        <w:rPr>
          <w:lang w:val="en-GB"/>
        </w:rPr>
        <w:t xml:space="preserve"> </w:t>
      </w:r>
      <w:r w:rsidRPr="00B052BF">
        <w:rPr>
          <w:lang w:val="en-GB"/>
        </w:rPr>
        <w:t>2022 can be found</w:t>
      </w:r>
      <w:r w:rsidR="0063192A">
        <w:rPr>
          <w:lang w:val="en-GB"/>
        </w:rPr>
        <w:t xml:space="preserve"> </w:t>
      </w:r>
      <w:r w:rsidRPr="00B052BF">
        <w:rPr>
          <w:lang w:val="en-GB"/>
        </w:rPr>
        <w:t xml:space="preserve">at </w:t>
      </w:r>
      <w:hyperlink r:id="rId7" w:history="1">
        <w:r w:rsidR="00265592" w:rsidRPr="007C7DE8">
          <w:rPr>
            <w:rStyle w:val="Hyperlink"/>
          </w:rPr>
          <w:t>https://www.clarifypharma.com/inves</w:t>
        </w:r>
        <w:r w:rsidR="00265592" w:rsidRPr="007C7DE8">
          <w:rPr>
            <w:rStyle w:val="Hyperlink"/>
          </w:rPr>
          <w:t>t</w:t>
        </w:r>
        <w:r w:rsidR="00265592" w:rsidRPr="007C7DE8">
          <w:rPr>
            <w:rStyle w:val="Hyperlink"/>
          </w:rPr>
          <w:t>ors</w:t>
        </w:r>
      </w:hyperlink>
      <w:r w:rsidR="00265592">
        <w:t xml:space="preserve"> </w:t>
      </w:r>
    </w:p>
    <w:p w14:paraId="085FC77B" w14:textId="77777777" w:rsidR="0034160E" w:rsidRPr="0034160E" w:rsidRDefault="0034160E" w:rsidP="00055232">
      <w:pPr>
        <w:pStyle w:val="BodyText"/>
        <w:spacing w:before="159"/>
        <w:ind w:left="221" w:right="159"/>
        <w:jc w:val="both"/>
        <w:rPr>
          <w:lang w:val="en-GB"/>
        </w:rPr>
      </w:pPr>
      <w:r w:rsidRPr="0034160E">
        <w:rPr>
          <w:lang w:val="en-GB"/>
        </w:rPr>
        <w:t xml:space="preserve">This announcement may contain “forward-looking” statements and information relating to the Company. These statements are based on the beliefs of Company management, as well as assumptions made by and information currently available to Company management. The Company does not undertake to update forward‐looking statements or forward‐looking information, except as required by law. </w:t>
      </w:r>
    </w:p>
    <w:p w14:paraId="5E770BD8" w14:textId="53F76D4F" w:rsidR="00634ECC" w:rsidRPr="00B052BF" w:rsidRDefault="0034160E" w:rsidP="00055232">
      <w:pPr>
        <w:pStyle w:val="BodyText"/>
        <w:spacing w:before="159"/>
        <w:ind w:left="221" w:right="159"/>
        <w:jc w:val="both"/>
        <w:rPr>
          <w:lang w:val="en-GB"/>
        </w:rPr>
      </w:pPr>
      <w:r w:rsidRPr="0034160E">
        <w:rPr>
          <w:lang w:val="en-GB"/>
        </w:rPr>
        <w:t>This announcement contains information which, prior to its disclosure, was inside information as stipulated under Regulation 11 of the Market Abuse (Amendment) (EU Exit) Regulations 2019/310 (as amended). Upon the publication of this announcement via a Regulatory Information Service, this inside information is now considered to be in the public domain.</w:t>
      </w:r>
    </w:p>
    <w:p w14:paraId="180E58A7" w14:textId="77777777" w:rsidR="008D46A2" w:rsidRPr="00B052BF" w:rsidRDefault="00522414">
      <w:pPr>
        <w:pStyle w:val="BodyText"/>
        <w:spacing w:before="159" w:line="412" w:lineRule="auto"/>
        <w:ind w:left="220" w:right="2065"/>
        <w:jc w:val="both"/>
        <w:rPr>
          <w:lang w:val="en-GB"/>
        </w:rPr>
      </w:pPr>
      <w:r w:rsidRPr="00B052BF">
        <w:rPr>
          <w:lang w:val="en-GB"/>
        </w:rPr>
        <w:t>For further information please contact:</w:t>
      </w: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92"/>
        <w:gridCol w:w="4290"/>
      </w:tblGrid>
      <w:tr w:rsidR="008D46A2" w:rsidRPr="00B052BF" w14:paraId="6F6E7285" w14:textId="77777777">
        <w:trPr>
          <w:trHeight w:val="253"/>
        </w:trPr>
        <w:tc>
          <w:tcPr>
            <w:tcW w:w="4292" w:type="dxa"/>
          </w:tcPr>
          <w:p w14:paraId="796BC9D1" w14:textId="77777777" w:rsidR="008D46A2" w:rsidRPr="00B052BF" w:rsidRDefault="00522414">
            <w:pPr>
              <w:pStyle w:val="TableParagraph"/>
              <w:spacing w:line="234" w:lineRule="exact"/>
              <w:ind w:left="107"/>
              <w:rPr>
                <w:b/>
                <w:lang w:val="en-GB"/>
              </w:rPr>
            </w:pPr>
            <w:r w:rsidRPr="00B052BF">
              <w:rPr>
                <w:b/>
                <w:lang w:val="en-GB"/>
              </w:rPr>
              <w:t>Clarify</w:t>
            </w:r>
            <w:r w:rsidRPr="00B052BF">
              <w:rPr>
                <w:b/>
                <w:spacing w:val="-4"/>
                <w:lang w:val="en-GB"/>
              </w:rPr>
              <w:t xml:space="preserve"> </w:t>
            </w:r>
            <w:r w:rsidRPr="00B052BF">
              <w:rPr>
                <w:b/>
                <w:spacing w:val="-2"/>
                <w:lang w:val="en-GB"/>
              </w:rPr>
              <w:t>Pharma</w:t>
            </w:r>
          </w:p>
        </w:tc>
        <w:tc>
          <w:tcPr>
            <w:tcW w:w="4290" w:type="dxa"/>
          </w:tcPr>
          <w:p w14:paraId="372A5E3F" w14:textId="77777777" w:rsidR="008D46A2" w:rsidRPr="00B052BF" w:rsidRDefault="008D46A2">
            <w:pPr>
              <w:pStyle w:val="TableParagraph"/>
              <w:rPr>
                <w:sz w:val="18"/>
                <w:lang w:val="en-GB"/>
              </w:rPr>
            </w:pPr>
          </w:p>
        </w:tc>
      </w:tr>
      <w:tr w:rsidR="008D46A2" w:rsidRPr="00B052BF" w14:paraId="68BD1121" w14:textId="77777777">
        <w:trPr>
          <w:trHeight w:val="505"/>
        </w:trPr>
        <w:tc>
          <w:tcPr>
            <w:tcW w:w="4292" w:type="dxa"/>
          </w:tcPr>
          <w:p w14:paraId="7B2C5E23" w14:textId="77777777" w:rsidR="008D46A2" w:rsidRPr="00B052BF" w:rsidRDefault="00522414">
            <w:pPr>
              <w:pStyle w:val="TableParagraph"/>
              <w:spacing w:line="246" w:lineRule="exact"/>
              <w:ind w:left="107"/>
              <w:rPr>
                <w:b/>
                <w:lang w:val="en-GB"/>
              </w:rPr>
            </w:pPr>
            <w:r w:rsidRPr="00B052BF">
              <w:rPr>
                <w:b/>
                <w:lang w:val="en-GB"/>
              </w:rPr>
              <w:t xml:space="preserve">Jon </w:t>
            </w:r>
            <w:r w:rsidRPr="00B052BF">
              <w:rPr>
                <w:b/>
                <w:spacing w:val="-2"/>
                <w:lang w:val="en-GB"/>
              </w:rPr>
              <w:t>Bixby</w:t>
            </w:r>
          </w:p>
          <w:p w14:paraId="70244E70" w14:textId="77777777" w:rsidR="008D46A2" w:rsidRPr="00B052BF" w:rsidRDefault="00522414">
            <w:pPr>
              <w:pStyle w:val="TableParagraph"/>
              <w:spacing w:before="1" w:line="238" w:lineRule="exact"/>
              <w:ind w:left="107"/>
              <w:rPr>
                <w:lang w:val="en-GB"/>
              </w:rPr>
            </w:pPr>
            <w:r w:rsidRPr="00B052BF">
              <w:rPr>
                <w:lang w:val="en-GB"/>
              </w:rPr>
              <w:t>Executive</w:t>
            </w:r>
            <w:r w:rsidRPr="00B052BF">
              <w:rPr>
                <w:spacing w:val="-4"/>
                <w:lang w:val="en-GB"/>
              </w:rPr>
              <w:t xml:space="preserve"> </w:t>
            </w:r>
            <w:r w:rsidRPr="00B052BF">
              <w:rPr>
                <w:spacing w:val="-2"/>
                <w:lang w:val="en-GB"/>
              </w:rPr>
              <w:t>Chairman</w:t>
            </w:r>
          </w:p>
        </w:tc>
        <w:tc>
          <w:tcPr>
            <w:tcW w:w="4290" w:type="dxa"/>
          </w:tcPr>
          <w:p w14:paraId="3BE203EB" w14:textId="77777777" w:rsidR="008D46A2" w:rsidRPr="00B052BF" w:rsidRDefault="00522414">
            <w:pPr>
              <w:pStyle w:val="TableParagraph"/>
              <w:spacing w:line="246" w:lineRule="exact"/>
              <w:ind w:left="107"/>
              <w:rPr>
                <w:b/>
                <w:lang w:val="en-GB"/>
              </w:rPr>
            </w:pPr>
            <w:r w:rsidRPr="00B052BF">
              <w:rPr>
                <w:b/>
                <w:color w:val="0D0D0D"/>
                <w:lang w:val="en-GB"/>
              </w:rPr>
              <w:t>via</w:t>
            </w:r>
            <w:r w:rsidRPr="00B052BF">
              <w:rPr>
                <w:b/>
                <w:color w:val="0D0D0D"/>
                <w:spacing w:val="-2"/>
                <w:lang w:val="en-GB"/>
              </w:rPr>
              <w:t xml:space="preserve"> </w:t>
            </w:r>
            <w:r w:rsidR="00634ECC" w:rsidRPr="00B052BF">
              <w:rPr>
                <w:b/>
                <w:color w:val="0D0D0D"/>
                <w:lang w:val="en-GB"/>
              </w:rPr>
              <w:t>First Sentinel</w:t>
            </w:r>
          </w:p>
        </w:tc>
      </w:tr>
      <w:tr w:rsidR="00BC5427" w:rsidRPr="00B052BF" w14:paraId="3A31CD2F" w14:textId="77777777" w:rsidTr="00382B43">
        <w:trPr>
          <w:trHeight w:val="253"/>
        </w:trPr>
        <w:tc>
          <w:tcPr>
            <w:tcW w:w="4292" w:type="dxa"/>
          </w:tcPr>
          <w:p w14:paraId="64541805" w14:textId="77777777" w:rsidR="00BC5427" w:rsidRPr="00B052BF" w:rsidRDefault="00BC5427" w:rsidP="00382B43">
            <w:pPr>
              <w:pStyle w:val="TableParagraph"/>
              <w:spacing w:line="233" w:lineRule="exact"/>
              <w:ind w:left="107"/>
              <w:rPr>
                <w:b/>
                <w:lang w:val="en-GB"/>
              </w:rPr>
            </w:pPr>
            <w:r w:rsidRPr="00B052BF">
              <w:rPr>
                <w:b/>
                <w:lang w:val="en-GB"/>
              </w:rPr>
              <w:t>First</w:t>
            </w:r>
            <w:r w:rsidRPr="00B052BF">
              <w:rPr>
                <w:b/>
                <w:spacing w:val="-4"/>
                <w:lang w:val="en-GB"/>
              </w:rPr>
              <w:t xml:space="preserve"> </w:t>
            </w:r>
            <w:r w:rsidRPr="00B052BF">
              <w:rPr>
                <w:b/>
                <w:spacing w:val="-2"/>
                <w:lang w:val="en-GB"/>
              </w:rPr>
              <w:t>Sentinel</w:t>
            </w:r>
          </w:p>
        </w:tc>
        <w:tc>
          <w:tcPr>
            <w:tcW w:w="4290" w:type="dxa"/>
          </w:tcPr>
          <w:p w14:paraId="092A6358" w14:textId="77777777" w:rsidR="00BC5427" w:rsidRPr="00B052BF" w:rsidRDefault="00BC5427" w:rsidP="00382B43">
            <w:pPr>
              <w:pStyle w:val="TableParagraph"/>
              <w:rPr>
                <w:sz w:val="18"/>
                <w:lang w:val="en-GB"/>
              </w:rPr>
            </w:pPr>
          </w:p>
        </w:tc>
      </w:tr>
      <w:tr w:rsidR="00BC5427" w:rsidRPr="00B052BF" w14:paraId="53F69B74" w14:textId="77777777" w:rsidTr="00382B43">
        <w:trPr>
          <w:trHeight w:val="759"/>
        </w:trPr>
        <w:tc>
          <w:tcPr>
            <w:tcW w:w="4292" w:type="dxa"/>
          </w:tcPr>
          <w:p w14:paraId="23994FFB" w14:textId="77777777" w:rsidR="00BC5427" w:rsidRPr="00B052BF" w:rsidRDefault="00BC5427" w:rsidP="00382B43">
            <w:pPr>
              <w:pStyle w:val="TableParagraph"/>
              <w:spacing w:line="251" w:lineRule="exact"/>
              <w:ind w:left="107"/>
              <w:rPr>
                <w:lang w:val="en-GB"/>
              </w:rPr>
            </w:pPr>
            <w:r w:rsidRPr="00B052BF">
              <w:rPr>
                <w:color w:val="0D0D0D"/>
                <w:lang w:val="en-GB"/>
              </w:rPr>
              <w:lastRenderedPageBreak/>
              <w:t>Corporate</w:t>
            </w:r>
            <w:r w:rsidRPr="00B052BF">
              <w:rPr>
                <w:color w:val="0D0D0D"/>
                <w:spacing w:val="-4"/>
                <w:lang w:val="en-GB"/>
              </w:rPr>
              <w:t xml:space="preserve"> </w:t>
            </w:r>
            <w:r w:rsidRPr="00B052BF">
              <w:rPr>
                <w:color w:val="0D0D0D"/>
                <w:spacing w:val="-2"/>
                <w:lang w:val="en-GB"/>
              </w:rPr>
              <w:t>Adviser</w:t>
            </w:r>
          </w:p>
          <w:p w14:paraId="4B9E03BC" w14:textId="77777777" w:rsidR="00BC5427" w:rsidRPr="00B052BF" w:rsidRDefault="00BC5427" w:rsidP="00382B43">
            <w:pPr>
              <w:pStyle w:val="TableParagraph"/>
              <w:spacing w:before="1"/>
              <w:ind w:left="107"/>
              <w:rPr>
                <w:b/>
                <w:lang w:val="en-GB"/>
              </w:rPr>
            </w:pPr>
            <w:r w:rsidRPr="00B052BF">
              <w:rPr>
                <w:b/>
                <w:lang w:val="en-GB"/>
              </w:rPr>
              <w:t xml:space="preserve">Brian </w:t>
            </w:r>
            <w:r w:rsidRPr="00B052BF">
              <w:rPr>
                <w:b/>
                <w:spacing w:val="-2"/>
                <w:lang w:val="en-GB"/>
              </w:rPr>
              <w:t>Stockbridge</w:t>
            </w:r>
          </w:p>
        </w:tc>
        <w:tc>
          <w:tcPr>
            <w:tcW w:w="4290" w:type="dxa"/>
          </w:tcPr>
          <w:p w14:paraId="08021BF1" w14:textId="77777777" w:rsidR="00BC5427" w:rsidRPr="00B052BF" w:rsidRDefault="00BC5427" w:rsidP="00382B43">
            <w:pPr>
              <w:pStyle w:val="TableParagraph"/>
              <w:spacing w:line="251" w:lineRule="exact"/>
              <w:ind w:left="107"/>
              <w:rPr>
                <w:b/>
                <w:lang w:val="en-GB"/>
              </w:rPr>
            </w:pPr>
            <w:r w:rsidRPr="00B052BF">
              <w:rPr>
                <w:b/>
                <w:lang w:val="en-GB"/>
              </w:rPr>
              <w:t>+44</w:t>
            </w:r>
            <w:r w:rsidRPr="00B052BF">
              <w:rPr>
                <w:b/>
                <w:spacing w:val="-1"/>
                <w:lang w:val="en-GB"/>
              </w:rPr>
              <w:t xml:space="preserve"> </w:t>
            </w:r>
            <w:r w:rsidRPr="00B052BF">
              <w:rPr>
                <w:b/>
                <w:lang w:val="en-GB"/>
              </w:rPr>
              <w:t>7876</w:t>
            </w:r>
            <w:r w:rsidRPr="00B052BF">
              <w:rPr>
                <w:b/>
                <w:spacing w:val="-1"/>
                <w:lang w:val="en-GB"/>
              </w:rPr>
              <w:t xml:space="preserve"> </w:t>
            </w:r>
            <w:r w:rsidRPr="00B052BF">
              <w:rPr>
                <w:b/>
                <w:lang w:val="en-GB"/>
              </w:rPr>
              <w:t>888</w:t>
            </w:r>
            <w:r w:rsidRPr="00B052BF">
              <w:rPr>
                <w:b/>
                <w:spacing w:val="-3"/>
                <w:lang w:val="en-GB"/>
              </w:rPr>
              <w:t xml:space="preserve"> </w:t>
            </w:r>
            <w:r w:rsidRPr="00B052BF">
              <w:rPr>
                <w:b/>
                <w:spacing w:val="-5"/>
                <w:lang w:val="en-GB"/>
              </w:rPr>
              <w:t>011</w:t>
            </w:r>
          </w:p>
        </w:tc>
      </w:tr>
    </w:tbl>
    <w:p w14:paraId="3AEB9FBB" w14:textId="77777777" w:rsidR="00BC5427" w:rsidRDefault="00BC5427" w:rsidP="00BC5427">
      <w:pPr>
        <w:rPr>
          <w:lang w:val="en-GB"/>
        </w:rPr>
      </w:pPr>
    </w:p>
    <w:p w14:paraId="43E18C60" w14:textId="77777777" w:rsidR="00BC5427" w:rsidRPr="00B052BF" w:rsidRDefault="00BC5427" w:rsidP="00BC5427">
      <w:pPr>
        <w:pStyle w:val="BodyText"/>
        <w:spacing w:before="8"/>
        <w:rPr>
          <w:sz w:val="19"/>
          <w:lang w:val="en-GB"/>
        </w:rPr>
      </w:pPr>
    </w:p>
    <w:p w14:paraId="3ED307B5" w14:textId="77777777" w:rsidR="00BC5427" w:rsidRPr="00B052BF" w:rsidRDefault="00BC5427" w:rsidP="00BC5427">
      <w:pPr>
        <w:pStyle w:val="Heading1"/>
        <w:jc w:val="both"/>
        <w:rPr>
          <w:lang w:val="en-GB"/>
        </w:rPr>
      </w:pPr>
      <w:r w:rsidRPr="00B052BF">
        <w:rPr>
          <w:lang w:val="en-GB"/>
        </w:rPr>
        <w:t>About</w:t>
      </w:r>
      <w:r w:rsidRPr="00B052BF">
        <w:rPr>
          <w:spacing w:val="-4"/>
          <w:lang w:val="en-GB"/>
        </w:rPr>
        <w:t xml:space="preserve"> </w:t>
      </w:r>
      <w:r w:rsidRPr="00B052BF">
        <w:rPr>
          <w:lang w:val="en-GB"/>
        </w:rPr>
        <w:t>Clarify</w:t>
      </w:r>
      <w:r w:rsidRPr="00B052BF">
        <w:rPr>
          <w:spacing w:val="-4"/>
          <w:lang w:val="en-GB"/>
        </w:rPr>
        <w:t xml:space="preserve"> </w:t>
      </w:r>
      <w:r w:rsidRPr="00B052BF">
        <w:rPr>
          <w:lang w:val="en-GB"/>
        </w:rPr>
        <w:t>Pharma</w:t>
      </w:r>
      <w:r w:rsidRPr="00B052BF">
        <w:rPr>
          <w:spacing w:val="-4"/>
          <w:lang w:val="en-GB"/>
        </w:rPr>
        <w:t xml:space="preserve"> PLC:</w:t>
      </w:r>
    </w:p>
    <w:p w14:paraId="40DB7382" w14:textId="77777777" w:rsidR="00BC5427" w:rsidRPr="00B052BF" w:rsidRDefault="00BC5427" w:rsidP="00BC5427">
      <w:pPr>
        <w:pStyle w:val="BodyText"/>
        <w:spacing w:before="4"/>
        <w:rPr>
          <w:b/>
          <w:sz w:val="25"/>
          <w:lang w:val="en-GB"/>
        </w:rPr>
      </w:pPr>
    </w:p>
    <w:p w14:paraId="21C9AEB9" w14:textId="09A7844C" w:rsidR="00BC5427" w:rsidRDefault="00BC5427" w:rsidP="00BC5427">
      <w:pPr>
        <w:pStyle w:val="BodyText"/>
        <w:spacing w:line="259" w:lineRule="auto"/>
        <w:ind w:left="220" w:right="115"/>
        <w:jc w:val="both"/>
        <w:rPr>
          <w:color w:val="0462C1"/>
          <w:u w:val="single" w:color="0462C1"/>
          <w:lang w:val="en-GB"/>
        </w:rPr>
      </w:pPr>
      <w:r w:rsidRPr="00B052BF">
        <w:rPr>
          <w:lang w:val="en-GB"/>
        </w:rPr>
        <w:t xml:space="preserve">Listed on the </w:t>
      </w:r>
      <w:proofErr w:type="spellStart"/>
      <w:r w:rsidRPr="00B052BF">
        <w:rPr>
          <w:lang w:val="en-GB"/>
        </w:rPr>
        <w:t>Aquis</w:t>
      </w:r>
      <w:proofErr w:type="spellEnd"/>
      <w:r w:rsidRPr="00B052BF">
        <w:rPr>
          <w:lang w:val="en-GB"/>
        </w:rPr>
        <w:t xml:space="preserve"> Stock Exchange in London, Clarify Pharma is an investment vehicle focusing on investing</w:t>
      </w:r>
      <w:r w:rsidRPr="00B052BF">
        <w:rPr>
          <w:spacing w:val="-9"/>
          <w:lang w:val="en-GB"/>
        </w:rPr>
        <w:t xml:space="preserve"> </w:t>
      </w:r>
      <w:r w:rsidRPr="00B052BF">
        <w:rPr>
          <w:lang w:val="en-GB"/>
        </w:rPr>
        <w:t>in</w:t>
      </w:r>
      <w:r w:rsidRPr="00B052BF">
        <w:rPr>
          <w:spacing w:val="-9"/>
          <w:lang w:val="en-GB"/>
        </w:rPr>
        <w:t xml:space="preserve"> </w:t>
      </w:r>
      <w:r w:rsidRPr="00B052BF">
        <w:rPr>
          <w:lang w:val="en-GB"/>
        </w:rPr>
        <w:t>biotech</w:t>
      </w:r>
      <w:r w:rsidRPr="00B052BF">
        <w:rPr>
          <w:spacing w:val="-9"/>
          <w:lang w:val="en-GB"/>
        </w:rPr>
        <w:t xml:space="preserve"> </w:t>
      </w:r>
      <w:r w:rsidRPr="00B052BF">
        <w:rPr>
          <w:lang w:val="en-GB"/>
        </w:rPr>
        <w:t>and</w:t>
      </w:r>
      <w:r w:rsidRPr="00B052BF">
        <w:rPr>
          <w:spacing w:val="-9"/>
          <w:lang w:val="en-GB"/>
        </w:rPr>
        <w:t xml:space="preserve"> </w:t>
      </w:r>
      <w:r w:rsidRPr="00B052BF">
        <w:rPr>
          <w:lang w:val="en-GB"/>
        </w:rPr>
        <w:t>life</w:t>
      </w:r>
      <w:r w:rsidRPr="00B052BF">
        <w:rPr>
          <w:spacing w:val="-11"/>
          <w:lang w:val="en-GB"/>
        </w:rPr>
        <w:t xml:space="preserve"> </w:t>
      </w:r>
      <w:r w:rsidRPr="00B052BF">
        <w:rPr>
          <w:lang w:val="en-GB"/>
        </w:rPr>
        <w:t>sciences</w:t>
      </w:r>
      <w:r w:rsidRPr="00B052BF">
        <w:rPr>
          <w:spacing w:val="-8"/>
          <w:lang w:val="en-GB"/>
        </w:rPr>
        <w:t xml:space="preserve"> </w:t>
      </w:r>
      <w:r w:rsidRPr="00B052BF">
        <w:rPr>
          <w:lang w:val="en-GB"/>
        </w:rPr>
        <w:t>companies</w:t>
      </w:r>
      <w:r w:rsidRPr="00B052BF">
        <w:rPr>
          <w:spacing w:val="-8"/>
          <w:lang w:val="en-GB"/>
        </w:rPr>
        <w:t xml:space="preserve"> </w:t>
      </w:r>
      <w:r w:rsidRPr="00B052BF">
        <w:rPr>
          <w:lang w:val="en-GB"/>
        </w:rPr>
        <w:t>seeking</w:t>
      </w:r>
      <w:r w:rsidRPr="00B052BF">
        <w:rPr>
          <w:spacing w:val="-9"/>
          <w:lang w:val="en-GB"/>
        </w:rPr>
        <w:t xml:space="preserve"> </w:t>
      </w:r>
      <w:r w:rsidRPr="00B052BF">
        <w:rPr>
          <w:lang w:val="en-GB"/>
        </w:rPr>
        <w:t>to</w:t>
      </w:r>
      <w:r w:rsidRPr="00B052BF">
        <w:rPr>
          <w:spacing w:val="-9"/>
          <w:lang w:val="en-GB"/>
        </w:rPr>
        <w:t xml:space="preserve"> </w:t>
      </w:r>
      <w:r w:rsidRPr="00B052BF">
        <w:rPr>
          <w:lang w:val="en-GB"/>
        </w:rPr>
        <w:t>prove</w:t>
      </w:r>
      <w:r w:rsidRPr="00B052BF">
        <w:rPr>
          <w:spacing w:val="-8"/>
          <w:lang w:val="en-GB"/>
        </w:rPr>
        <w:t xml:space="preserve"> </w:t>
      </w:r>
      <w:r w:rsidRPr="00B052BF">
        <w:rPr>
          <w:lang w:val="en-GB"/>
        </w:rPr>
        <w:t>the</w:t>
      </w:r>
      <w:r w:rsidRPr="00B052BF">
        <w:rPr>
          <w:spacing w:val="-8"/>
          <w:lang w:val="en-GB"/>
        </w:rPr>
        <w:t xml:space="preserve"> </w:t>
      </w:r>
      <w:r w:rsidRPr="00B052BF">
        <w:rPr>
          <w:lang w:val="en-GB"/>
        </w:rPr>
        <w:t>safety</w:t>
      </w:r>
      <w:r w:rsidRPr="00B052BF">
        <w:rPr>
          <w:spacing w:val="-9"/>
          <w:lang w:val="en-GB"/>
        </w:rPr>
        <w:t xml:space="preserve"> </w:t>
      </w:r>
      <w:r w:rsidRPr="00B052BF">
        <w:rPr>
          <w:lang w:val="en-GB"/>
        </w:rPr>
        <w:t>and</w:t>
      </w:r>
      <w:r w:rsidRPr="00B052BF">
        <w:rPr>
          <w:spacing w:val="-8"/>
          <w:lang w:val="en-GB"/>
        </w:rPr>
        <w:t xml:space="preserve"> </w:t>
      </w:r>
      <w:r w:rsidRPr="00B052BF">
        <w:rPr>
          <w:lang w:val="en-GB"/>
        </w:rPr>
        <w:t>efficacy</w:t>
      </w:r>
      <w:r w:rsidRPr="00B052BF">
        <w:rPr>
          <w:spacing w:val="-9"/>
          <w:lang w:val="en-GB"/>
        </w:rPr>
        <w:t xml:space="preserve"> </w:t>
      </w:r>
      <w:r w:rsidRPr="00B052BF">
        <w:rPr>
          <w:lang w:val="en-GB"/>
        </w:rPr>
        <w:t>of</w:t>
      </w:r>
      <w:r w:rsidRPr="00B052BF">
        <w:rPr>
          <w:spacing w:val="-8"/>
          <w:lang w:val="en-GB"/>
        </w:rPr>
        <w:t xml:space="preserve"> </w:t>
      </w:r>
      <w:r w:rsidRPr="00B052BF">
        <w:rPr>
          <w:lang w:val="en-GB"/>
        </w:rPr>
        <w:t xml:space="preserve">psychedelic based substances. The Company looks to identify investment opportunities in the life sciences sector within the UK, </w:t>
      </w:r>
      <w:proofErr w:type="gramStart"/>
      <w:r w:rsidRPr="00B052BF">
        <w:rPr>
          <w:lang w:val="en-GB"/>
        </w:rPr>
        <w:t>Canada</w:t>
      </w:r>
      <w:proofErr w:type="gramEnd"/>
      <w:r w:rsidRPr="00B052BF">
        <w:rPr>
          <w:lang w:val="en-GB"/>
        </w:rPr>
        <w:t xml:space="preserve"> and other growing markets, with the objective of generating long-term capital growth</w:t>
      </w:r>
      <w:r w:rsidRPr="00B052BF">
        <w:rPr>
          <w:spacing w:val="-5"/>
          <w:lang w:val="en-GB"/>
        </w:rPr>
        <w:t xml:space="preserve"> </w:t>
      </w:r>
      <w:r w:rsidRPr="00B052BF">
        <w:rPr>
          <w:lang w:val="en-GB"/>
        </w:rPr>
        <w:t>and</w:t>
      </w:r>
      <w:r w:rsidRPr="00B052BF">
        <w:rPr>
          <w:spacing w:val="-5"/>
          <w:lang w:val="en-GB"/>
        </w:rPr>
        <w:t xml:space="preserve"> </w:t>
      </w:r>
      <w:r w:rsidRPr="00B052BF">
        <w:rPr>
          <w:lang w:val="en-GB"/>
        </w:rPr>
        <w:t>building</w:t>
      </w:r>
      <w:r w:rsidRPr="00B052BF">
        <w:rPr>
          <w:spacing w:val="-5"/>
          <w:lang w:val="en-GB"/>
        </w:rPr>
        <w:t xml:space="preserve"> </w:t>
      </w:r>
      <w:r w:rsidRPr="00B052BF">
        <w:rPr>
          <w:lang w:val="en-GB"/>
        </w:rPr>
        <w:t>investments</w:t>
      </w:r>
      <w:r w:rsidRPr="00B052BF">
        <w:rPr>
          <w:spacing w:val="-4"/>
          <w:lang w:val="en-GB"/>
        </w:rPr>
        <w:t xml:space="preserve"> </w:t>
      </w:r>
      <w:r w:rsidRPr="00B052BF">
        <w:rPr>
          <w:lang w:val="en-GB"/>
        </w:rPr>
        <w:t>in</w:t>
      </w:r>
      <w:r w:rsidRPr="00B052BF">
        <w:rPr>
          <w:spacing w:val="-5"/>
          <w:lang w:val="en-GB"/>
        </w:rPr>
        <w:t xml:space="preserve"> </w:t>
      </w:r>
      <w:r w:rsidRPr="00B052BF">
        <w:rPr>
          <w:lang w:val="en-GB"/>
        </w:rPr>
        <w:t>an</w:t>
      </w:r>
      <w:r w:rsidRPr="00B052BF">
        <w:rPr>
          <w:spacing w:val="-4"/>
          <w:lang w:val="en-GB"/>
        </w:rPr>
        <w:t xml:space="preserve"> </w:t>
      </w:r>
      <w:r w:rsidRPr="00B052BF">
        <w:rPr>
          <w:lang w:val="en-GB"/>
        </w:rPr>
        <w:t>R&amp;D</w:t>
      </w:r>
      <w:r w:rsidRPr="00B052BF">
        <w:rPr>
          <w:spacing w:val="-6"/>
          <w:lang w:val="en-GB"/>
        </w:rPr>
        <w:t xml:space="preserve"> </w:t>
      </w:r>
      <w:r w:rsidRPr="00B052BF">
        <w:rPr>
          <w:lang w:val="en-GB"/>
        </w:rPr>
        <w:t>pipeline</w:t>
      </w:r>
      <w:r w:rsidRPr="00B052BF">
        <w:rPr>
          <w:spacing w:val="-7"/>
          <w:lang w:val="en-GB"/>
        </w:rPr>
        <w:t xml:space="preserve"> </w:t>
      </w:r>
      <w:r w:rsidRPr="00B052BF">
        <w:rPr>
          <w:lang w:val="en-GB"/>
        </w:rPr>
        <w:t>of</w:t>
      </w:r>
      <w:r w:rsidRPr="00B052BF">
        <w:rPr>
          <w:spacing w:val="-4"/>
          <w:lang w:val="en-GB"/>
        </w:rPr>
        <w:t xml:space="preserve"> </w:t>
      </w:r>
      <w:r w:rsidRPr="00B052BF">
        <w:rPr>
          <w:lang w:val="en-GB"/>
        </w:rPr>
        <w:t>companies</w:t>
      </w:r>
      <w:r w:rsidRPr="00B052BF">
        <w:rPr>
          <w:spacing w:val="-4"/>
          <w:lang w:val="en-GB"/>
        </w:rPr>
        <w:t xml:space="preserve"> </w:t>
      </w:r>
      <w:r w:rsidRPr="00B052BF">
        <w:rPr>
          <w:lang w:val="en-GB"/>
        </w:rPr>
        <w:t>which</w:t>
      </w:r>
      <w:r w:rsidRPr="00B052BF">
        <w:rPr>
          <w:spacing w:val="-4"/>
          <w:lang w:val="en-GB"/>
        </w:rPr>
        <w:t xml:space="preserve"> </w:t>
      </w:r>
      <w:r w:rsidRPr="00B052BF">
        <w:rPr>
          <w:lang w:val="en-GB"/>
        </w:rPr>
        <w:t>are</w:t>
      </w:r>
      <w:r w:rsidRPr="00B052BF">
        <w:rPr>
          <w:spacing w:val="-4"/>
          <w:lang w:val="en-GB"/>
        </w:rPr>
        <w:t xml:space="preserve"> </w:t>
      </w:r>
      <w:r w:rsidRPr="00B052BF">
        <w:rPr>
          <w:lang w:val="en-GB"/>
        </w:rPr>
        <w:t>discovering,</w:t>
      </w:r>
      <w:r w:rsidRPr="00B052BF">
        <w:rPr>
          <w:spacing w:val="-5"/>
          <w:lang w:val="en-GB"/>
        </w:rPr>
        <w:t xml:space="preserve"> </w:t>
      </w:r>
      <w:r w:rsidRPr="00B052BF">
        <w:rPr>
          <w:lang w:val="en-GB"/>
        </w:rPr>
        <w:t>developing, or deploying safe and evidence-based psychedelic inspired medicines and experiential therapies that alleviate</w:t>
      </w:r>
      <w:r w:rsidRPr="00B052BF">
        <w:rPr>
          <w:spacing w:val="-9"/>
          <w:lang w:val="en-GB"/>
        </w:rPr>
        <w:t xml:space="preserve"> </w:t>
      </w:r>
      <w:r w:rsidRPr="00B052BF">
        <w:rPr>
          <w:lang w:val="en-GB"/>
        </w:rPr>
        <w:t>mental</w:t>
      </w:r>
      <w:r w:rsidRPr="00B052BF">
        <w:rPr>
          <w:spacing w:val="-6"/>
          <w:lang w:val="en-GB"/>
        </w:rPr>
        <w:t xml:space="preserve"> </w:t>
      </w:r>
      <w:r w:rsidRPr="00B052BF">
        <w:rPr>
          <w:lang w:val="en-GB"/>
        </w:rPr>
        <w:t>health</w:t>
      </w:r>
      <w:r w:rsidRPr="00B052BF">
        <w:rPr>
          <w:spacing w:val="-10"/>
          <w:lang w:val="en-GB"/>
        </w:rPr>
        <w:t xml:space="preserve"> </w:t>
      </w:r>
      <w:r w:rsidRPr="00B052BF">
        <w:rPr>
          <w:lang w:val="en-GB"/>
        </w:rPr>
        <w:t>problems</w:t>
      </w:r>
      <w:r w:rsidRPr="00B052BF">
        <w:rPr>
          <w:spacing w:val="-9"/>
          <w:lang w:val="en-GB"/>
        </w:rPr>
        <w:t xml:space="preserve"> </w:t>
      </w:r>
      <w:r w:rsidRPr="00B052BF">
        <w:rPr>
          <w:lang w:val="en-GB"/>
        </w:rPr>
        <w:t>and</w:t>
      </w:r>
      <w:r w:rsidRPr="00B052BF">
        <w:rPr>
          <w:spacing w:val="-9"/>
          <w:lang w:val="en-GB"/>
        </w:rPr>
        <w:t xml:space="preserve"> </w:t>
      </w:r>
      <w:r w:rsidRPr="00B052BF">
        <w:rPr>
          <w:lang w:val="en-GB"/>
        </w:rPr>
        <w:t>enhance</w:t>
      </w:r>
      <w:r w:rsidRPr="00B052BF">
        <w:rPr>
          <w:spacing w:val="-9"/>
          <w:lang w:val="en-GB"/>
        </w:rPr>
        <w:t xml:space="preserve"> </w:t>
      </w:r>
      <w:r w:rsidRPr="00B052BF">
        <w:rPr>
          <w:lang w:val="en-GB"/>
        </w:rPr>
        <w:t>wellbeing.</w:t>
      </w:r>
      <w:r w:rsidRPr="00B052BF">
        <w:rPr>
          <w:spacing w:val="-7"/>
          <w:lang w:val="en-GB"/>
        </w:rPr>
        <w:t xml:space="preserve"> </w:t>
      </w:r>
      <w:r w:rsidRPr="00B052BF">
        <w:rPr>
          <w:lang w:val="en-GB"/>
        </w:rPr>
        <w:t>The</w:t>
      </w:r>
      <w:r w:rsidRPr="00B052BF">
        <w:rPr>
          <w:spacing w:val="-10"/>
          <w:lang w:val="en-GB"/>
        </w:rPr>
        <w:t xml:space="preserve"> </w:t>
      </w:r>
      <w:r w:rsidRPr="00B052BF">
        <w:rPr>
          <w:lang w:val="en-GB"/>
        </w:rPr>
        <w:t>Company’s</w:t>
      </w:r>
      <w:r w:rsidRPr="00B052BF">
        <w:rPr>
          <w:spacing w:val="-9"/>
          <w:lang w:val="en-GB"/>
        </w:rPr>
        <w:t xml:space="preserve"> </w:t>
      </w:r>
      <w:r w:rsidRPr="00B052BF">
        <w:rPr>
          <w:lang w:val="en-GB"/>
        </w:rPr>
        <w:t>Directors</w:t>
      </w:r>
      <w:r w:rsidRPr="00B052BF">
        <w:rPr>
          <w:spacing w:val="-7"/>
          <w:lang w:val="en-GB"/>
        </w:rPr>
        <w:t xml:space="preserve"> </w:t>
      </w:r>
      <w:r w:rsidRPr="00B052BF">
        <w:rPr>
          <w:lang w:val="en-GB"/>
        </w:rPr>
        <w:t>have</w:t>
      </w:r>
      <w:r w:rsidRPr="00B052BF">
        <w:rPr>
          <w:spacing w:val="-9"/>
          <w:lang w:val="en-GB"/>
        </w:rPr>
        <w:t xml:space="preserve"> </w:t>
      </w:r>
      <w:r w:rsidRPr="00B052BF">
        <w:rPr>
          <w:lang w:val="en-GB"/>
        </w:rPr>
        <w:t>an</w:t>
      </w:r>
      <w:r w:rsidRPr="00B052BF">
        <w:rPr>
          <w:spacing w:val="-9"/>
          <w:lang w:val="en-GB"/>
        </w:rPr>
        <w:t xml:space="preserve"> </w:t>
      </w:r>
      <w:r w:rsidRPr="00B052BF">
        <w:rPr>
          <w:lang w:val="en-GB"/>
        </w:rPr>
        <w:t xml:space="preserve">established track record, experience and networks in the psychedelic, </w:t>
      </w:r>
      <w:proofErr w:type="gramStart"/>
      <w:r w:rsidRPr="00B052BF">
        <w:rPr>
          <w:lang w:val="en-GB"/>
        </w:rPr>
        <w:t>cannabinoid</w:t>
      </w:r>
      <w:proofErr w:type="gramEnd"/>
      <w:r w:rsidRPr="00B052BF">
        <w:rPr>
          <w:lang w:val="en-GB"/>
        </w:rPr>
        <w:t xml:space="preserve"> and media industries, to drive value creation. </w:t>
      </w:r>
      <w:hyperlink r:id="rId8">
        <w:r w:rsidRPr="00B052BF">
          <w:rPr>
            <w:color w:val="0462C1"/>
            <w:u w:val="single" w:color="0462C1"/>
            <w:lang w:val="en-GB"/>
          </w:rPr>
          <w:t>www.clarifypharma.com</w:t>
        </w:r>
      </w:hyperlink>
    </w:p>
    <w:p w14:paraId="76B06247" w14:textId="77777777" w:rsidR="00BC5427" w:rsidRDefault="00BC5427" w:rsidP="00BC5427">
      <w:pPr>
        <w:pStyle w:val="BodyText"/>
        <w:spacing w:line="259" w:lineRule="auto"/>
        <w:ind w:left="220" w:right="115"/>
        <w:jc w:val="both"/>
        <w:rPr>
          <w:lang w:val="en-GB"/>
        </w:rPr>
      </w:pPr>
    </w:p>
    <w:p w14:paraId="31B19116" w14:textId="77777777" w:rsidR="00FA7B59" w:rsidRDefault="00FA7B59" w:rsidP="00BC5427">
      <w:pPr>
        <w:pStyle w:val="BodyText"/>
        <w:spacing w:line="259" w:lineRule="auto"/>
        <w:ind w:left="220" w:right="115"/>
        <w:jc w:val="both"/>
        <w:rPr>
          <w:lang w:val="en-GB"/>
        </w:rPr>
      </w:pPr>
    </w:p>
    <w:p w14:paraId="5ACD90AC" w14:textId="77777777" w:rsidR="005A3903" w:rsidRDefault="005A3903" w:rsidP="00BC5427">
      <w:pPr>
        <w:pStyle w:val="BodyText"/>
        <w:spacing w:line="259" w:lineRule="auto"/>
        <w:ind w:left="220" w:right="115"/>
        <w:jc w:val="both"/>
        <w:rPr>
          <w:lang w:val="en-GB"/>
        </w:rPr>
      </w:pPr>
    </w:p>
    <w:p w14:paraId="4C3E2D11" w14:textId="1983AD5B" w:rsidR="005A3903" w:rsidRPr="00055232" w:rsidRDefault="00554104" w:rsidP="00BC5427">
      <w:pPr>
        <w:pStyle w:val="BodyText"/>
        <w:spacing w:line="259" w:lineRule="auto"/>
        <w:ind w:left="220" w:right="115"/>
        <w:jc w:val="both"/>
        <w:rPr>
          <w:b/>
          <w:bCs/>
          <w:lang w:val="en-GB"/>
        </w:rPr>
      </w:pPr>
      <w:r w:rsidRPr="00055232">
        <w:rPr>
          <w:b/>
          <w:bCs/>
        </w:rPr>
        <w:t>STATEMENT OF COMPREHENSIVE INCOME</w:t>
      </w:r>
    </w:p>
    <w:tbl>
      <w:tblPr>
        <w:tblW w:w="5019" w:type="pct"/>
        <w:tblLayout w:type="fixed"/>
        <w:tblLook w:val="04A0" w:firstRow="1" w:lastRow="0" w:firstColumn="1" w:lastColumn="0" w:noHBand="0" w:noVBand="1"/>
      </w:tblPr>
      <w:tblGrid>
        <w:gridCol w:w="4696"/>
        <w:gridCol w:w="690"/>
        <w:gridCol w:w="2073"/>
        <w:gridCol w:w="1947"/>
      </w:tblGrid>
      <w:tr w:rsidR="005A3903" w:rsidRPr="0081325D" w14:paraId="419BC7F1" w14:textId="77777777" w:rsidTr="00382B43">
        <w:trPr>
          <w:trHeight w:val="1293"/>
        </w:trPr>
        <w:tc>
          <w:tcPr>
            <w:tcW w:w="2496" w:type="pct"/>
            <w:tcBorders>
              <w:top w:val="nil"/>
              <w:left w:val="nil"/>
              <w:bottom w:val="nil"/>
              <w:right w:val="nil"/>
            </w:tcBorders>
            <w:shd w:val="clear" w:color="auto" w:fill="auto"/>
            <w:noWrap/>
            <w:vAlign w:val="bottom"/>
            <w:hideMark/>
          </w:tcPr>
          <w:p w14:paraId="554043F0" w14:textId="77777777" w:rsidR="005A3903" w:rsidRPr="0081325D" w:rsidRDefault="005A3903" w:rsidP="00382B43">
            <w:pPr>
              <w:rPr>
                <w:sz w:val="24"/>
                <w:szCs w:val="24"/>
                <w:lang w:eastAsia="en-GB"/>
              </w:rPr>
            </w:pPr>
          </w:p>
        </w:tc>
        <w:tc>
          <w:tcPr>
            <w:tcW w:w="367" w:type="pct"/>
            <w:tcBorders>
              <w:top w:val="nil"/>
              <w:left w:val="nil"/>
              <w:bottom w:val="nil"/>
              <w:right w:val="nil"/>
            </w:tcBorders>
            <w:shd w:val="clear" w:color="auto" w:fill="auto"/>
            <w:noWrap/>
            <w:vAlign w:val="bottom"/>
            <w:hideMark/>
          </w:tcPr>
          <w:p w14:paraId="1D7B385D" w14:textId="77777777" w:rsidR="005A3903" w:rsidRPr="0081325D" w:rsidRDefault="005A3903" w:rsidP="00382B43">
            <w:pPr>
              <w:rPr>
                <w:sz w:val="20"/>
                <w:szCs w:val="20"/>
                <w:lang w:eastAsia="en-GB"/>
              </w:rPr>
            </w:pPr>
          </w:p>
        </w:tc>
        <w:tc>
          <w:tcPr>
            <w:tcW w:w="1102" w:type="pct"/>
            <w:tcBorders>
              <w:top w:val="nil"/>
              <w:left w:val="nil"/>
              <w:bottom w:val="nil"/>
              <w:right w:val="nil"/>
            </w:tcBorders>
            <w:shd w:val="clear" w:color="auto" w:fill="auto"/>
            <w:vAlign w:val="bottom"/>
            <w:hideMark/>
          </w:tcPr>
          <w:p w14:paraId="1B2E0A06" w14:textId="77777777" w:rsidR="005A3903" w:rsidRPr="0081325D" w:rsidRDefault="005A3903" w:rsidP="00382B43">
            <w:pPr>
              <w:jc w:val="right"/>
              <w:rPr>
                <w:rFonts w:ascii="Calibri" w:hAnsi="Calibri" w:cs="Calibri"/>
                <w:b/>
                <w:bCs/>
                <w:color w:val="000000"/>
                <w:lang w:eastAsia="en-GB"/>
              </w:rPr>
            </w:pPr>
            <w:r w:rsidRPr="0081325D">
              <w:rPr>
                <w:rFonts w:ascii="Calibri" w:hAnsi="Calibri" w:cs="Calibri"/>
                <w:b/>
                <w:bCs/>
                <w:i/>
                <w:iCs/>
                <w:color w:val="000000"/>
                <w:lang w:eastAsia="en-GB"/>
              </w:rPr>
              <w:t>Audited</w:t>
            </w:r>
            <w:r w:rsidRPr="0081325D">
              <w:rPr>
                <w:rFonts w:ascii="Calibri" w:hAnsi="Calibri" w:cs="Calibri"/>
                <w:b/>
                <w:bCs/>
                <w:color w:val="000000"/>
                <w:lang w:eastAsia="en-GB"/>
              </w:rPr>
              <w:t xml:space="preserve"> </w:t>
            </w:r>
            <w:r w:rsidRPr="0081325D">
              <w:rPr>
                <w:rFonts w:ascii="Calibri" w:hAnsi="Calibri" w:cs="Calibri"/>
                <w:b/>
                <w:bCs/>
                <w:color w:val="000000"/>
                <w:lang w:eastAsia="en-GB"/>
              </w:rPr>
              <w:br/>
              <w:t xml:space="preserve">Year ended </w:t>
            </w:r>
            <w:r w:rsidRPr="0081325D">
              <w:rPr>
                <w:rFonts w:ascii="Calibri" w:hAnsi="Calibri" w:cs="Calibri"/>
                <w:b/>
                <w:bCs/>
                <w:color w:val="000000"/>
                <w:lang w:eastAsia="en-GB"/>
              </w:rPr>
              <w:br/>
              <w:t>30 November</w:t>
            </w:r>
            <w:r w:rsidRPr="0081325D">
              <w:rPr>
                <w:rFonts w:ascii="Calibri" w:hAnsi="Calibri" w:cs="Calibri"/>
                <w:b/>
                <w:bCs/>
                <w:color w:val="000000"/>
                <w:lang w:eastAsia="en-GB"/>
              </w:rPr>
              <w:br/>
              <w:t>2022</w:t>
            </w:r>
          </w:p>
        </w:tc>
        <w:tc>
          <w:tcPr>
            <w:tcW w:w="1035" w:type="pct"/>
            <w:tcBorders>
              <w:top w:val="nil"/>
              <w:left w:val="nil"/>
              <w:bottom w:val="nil"/>
              <w:right w:val="nil"/>
            </w:tcBorders>
            <w:shd w:val="clear" w:color="auto" w:fill="auto"/>
            <w:vAlign w:val="bottom"/>
            <w:hideMark/>
          </w:tcPr>
          <w:p w14:paraId="50435189" w14:textId="77777777" w:rsidR="005A3903" w:rsidRPr="0081325D" w:rsidRDefault="005A3903" w:rsidP="00382B43">
            <w:pPr>
              <w:jc w:val="right"/>
              <w:rPr>
                <w:rFonts w:ascii="Calibri" w:hAnsi="Calibri" w:cs="Calibri"/>
                <w:b/>
                <w:bCs/>
                <w:color w:val="000000"/>
                <w:lang w:eastAsia="en-GB"/>
              </w:rPr>
            </w:pPr>
            <w:r w:rsidRPr="0081325D">
              <w:rPr>
                <w:rFonts w:ascii="Calibri" w:hAnsi="Calibri" w:cs="Calibri"/>
                <w:b/>
                <w:bCs/>
                <w:i/>
                <w:iCs/>
                <w:color w:val="000000"/>
                <w:lang w:eastAsia="en-GB"/>
              </w:rPr>
              <w:t>Restated</w:t>
            </w:r>
            <w:r w:rsidRPr="0081325D">
              <w:rPr>
                <w:rFonts w:ascii="Calibri" w:hAnsi="Calibri" w:cs="Calibri"/>
                <w:b/>
                <w:bCs/>
                <w:color w:val="000000"/>
                <w:lang w:eastAsia="en-GB"/>
              </w:rPr>
              <w:t xml:space="preserve"> </w:t>
            </w:r>
            <w:r w:rsidRPr="0081325D">
              <w:rPr>
                <w:rFonts w:ascii="Calibri" w:hAnsi="Calibri" w:cs="Calibri"/>
                <w:b/>
                <w:bCs/>
                <w:color w:val="000000"/>
                <w:lang w:eastAsia="en-GB"/>
              </w:rPr>
              <w:br/>
              <w:t xml:space="preserve">Year ended </w:t>
            </w:r>
            <w:r w:rsidRPr="0081325D">
              <w:rPr>
                <w:rFonts w:ascii="Calibri" w:hAnsi="Calibri" w:cs="Calibri"/>
                <w:b/>
                <w:bCs/>
                <w:color w:val="000000"/>
                <w:lang w:eastAsia="en-GB"/>
              </w:rPr>
              <w:br/>
              <w:t>30 November</w:t>
            </w:r>
            <w:r w:rsidRPr="0081325D">
              <w:rPr>
                <w:rFonts w:ascii="Calibri" w:hAnsi="Calibri" w:cs="Calibri"/>
                <w:b/>
                <w:bCs/>
                <w:color w:val="000000"/>
                <w:lang w:eastAsia="en-GB"/>
              </w:rPr>
              <w:br/>
              <w:t>2021</w:t>
            </w:r>
          </w:p>
        </w:tc>
      </w:tr>
      <w:tr w:rsidR="005A3903" w:rsidRPr="0081325D" w14:paraId="64CF88C0" w14:textId="77777777" w:rsidTr="00382B43">
        <w:trPr>
          <w:trHeight w:val="323"/>
        </w:trPr>
        <w:tc>
          <w:tcPr>
            <w:tcW w:w="2496" w:type="pct"/>
            <w:tcBorders>
              <w:top w:val="nil"/>
              <w:left w:val="nil"/>
              <w:bottom w:val="nil"/>
              <w:right w:val="nil"/>
            </w:tcBorders>
            <w:shd w:val="clear" w:color="auto" w:fill="auto"/>
            <w:noWrap/>
            <w:vAlign w:val="bottom"/>
            <w:hideMark/>
          </w:tcPr>
          <w:p w14:paraId="105233DB" w14:textId="77777777" w:rsidR="005A3903" w:rsidRPr="0081325D" w:rsidRDefault="005A3903" w:rsidP="00382B43">
            <w:pPr>
              <w:jc w:val="right"/>
              <w:rPr>
                <w:rFonts w:ascii="Calibri" w:hAnsi="Calibri" w:cs="Calibri"/>
                <w:b/>
                <w:bCs/>
                <w:color w:val="000000"/>
                <w:lang w:eastAsia="en-GB"/>
              </w:rPr>
            </w:pPr>
          </w:p>
        </w:tc>
        <w:tc>
          <w:tcPr>
            <w:tcW w:w="367" w:type="pct"/>
            <w:tcBorders>
              <w:top w:val="nil"/>
              <w:left w:val="nil"/>
              <w:bottom w:val="nil"/>
              <w:right w:val="nil"/>
            </w:tcBorders>
            <w:shd w:val="clear" w:color="auto" w:fill="auto"/>
            <w:noWrap/>
            <w:vAlign w:val="bottom"/>
            <w:hideMark/>
          </w:tcPr>
          <w:p w14:paraId="3C9C2117" w14:textId="5EDC2EB6" w:rsidR="005A3903" w:rsidRPr="0081325D" w:rsidRDefault="005A3903" w:rsidP="00382B43">
            <w:pPr>
              <w:jc w:val="center"/>
              <w:rPr>
                <w:rFonts w:ascii="Calibri" w:hAnsi="Calibri" w:cs="Calibri"/>
                <w:b/>
                <w:bCs/>
                <w:color w:val="000000"/>
                <w:lang w:eastAsia="en-GB"/>
              </w:rPr>
            </w:pPr>
          </w:p>
        </w:tc>
        <w:tc>
          <w:tcPr>
            <w:tcW w:w="1102" w:type="pct"/>
            <w:tcBorders>
              <w:top w:val="nil"/>
              <w:left w:val="nil"/>
              <w:bottom w:val="nil"/>
              <w:right w:val="nil"/>
            </w:tcBorders>
            <w:shd w:val="clear" w:color="auto" w:fill="auto"/>
            <w:noWrap/>
            <w:vAlign w:val="bottom"/>
            <w:hideMark/>
          </w:tcPr>
          <w:p w14:paraId="4CAE429A" w14:textId="77777777" w:rsidR="005A3903" w:rsidRPr="0081325D" w:rsidRDefault="005A3903" w:rsidP="00382B43">
            <w:pPr>
              <w:jc w:val="right"/>
              <w:rPr>
                <w:rFonts w:ascii="Calibri" w:hAnsi="Calibri" w:cs="Calibri"/>
                <w:b/>
                <w:bCs/>
                <w:color w:val="000000"/>
                <w:lang w:eastAsia="en-GB"/>
              </w:rPr>
            </w:pPr>
            <w:r w:rsidRPr="0081325D">
              <w:rPr>
                <w:rFonts w:ascii="Calibri" w:hAnsi="Calibri" w:cs="Calibri"/>
                <w:b/>
                <w:bCs/>
                <w:color w:val="000000"/>
                <w:lang w:eastAsia="en-GB"/>
              </w:rPr>
              <w:t>£'000</w:t>
            </w:r>
          </w:p>
        </w:tc>
        <w:tc>
          <w:tcPr>
            <w:tcW w:w="1035" w:type="pct"/>
            <w:tcBorders>
              <w:top w:val="nil"/>
              <w:left w:val="nil"/>
              <w:bottom w:val="nil"/>
              <w:right w:val="nil"/>
            </w:tcBorders>
            <w:shd w:val="clear" w:color="auto" w:fill="auto"/>
            <w:noWrap/>
            <w:vAlign w:val="bottom"/>
            <w:hideMark/>
          </w:tcPr>
          <w:p w14:paraId="543DE037" w14:textId="77777777" w:rsidR="005A3903" w:rsidRPr="0081325D" w:rsidRDefault="005A3903" w:rsidP="00382B43">
            <w:pPr>
              <w:jc w:val="right"/>
              <w:rPr>
                <w:rFonts w:ascii="Calibri" w:hAnsi="Calibri" w:cs="Calibri"/>
                <w:b/>
                <w:bCs/>
                <w:color w:val="000000"/>
                <w:lang w:eastAsia="en-GB"/>
              </w:rPr>
            </w:pPr>
            <w:r w:rsidRPr="0081325D">
              <w:rPr>
                <w:rFonts w:ascii="Calibri" w:hAnsi="Calibri" w:cs="Calibri"/>
                <w:b/>
                <w:bCs/>
                <w:color w:val="000000"/>
                <w:lang w:eastAsia="en-GB"/>
              </w:rPr>
              <w:t>£'000</w:t>
            </w:r>
          </w:p>
        </w:tc>
      </w:tr>
      <w:tr w:rsidR="005A3903" w:rsidRPr="0081325D" w14:paraId="3A6F4247" w14:textId="77777777" w:rsidTr="00382B43">
        <w:trPr>
          <w:trHeight w:val="468"/>
        </w:trPr>
        <w:tc>
          <w:tcPr>
            <w:tcW w:w="2496" w:type="pct"/>
            <w:tcBorders>
              <w:top w:val="single" w:sz="4" w:space="0" w:color="auto"/>
              <w:left w:val="nil"/>
              <w:bottom w:val="nil"/>
              <w:right w:val="nil"/>
            </w:tcBorders>
            <w:shd w:val="clear" w:color="auto" w:fill="auto"/>
            <w:noWrap/>
            <w:vAlign w:val="center"/>
            <w:hideMark/>
          </w:tcPr>
          <w:p w14:paraId="08BE27BD" w14:textId="77777777" w:rsidR="005A3903" w:rsidRPr="0081325D" w:rsidRDefault="005A3903" w:rsidP="00382B43">
            <w:pPr>
              <w:rPr>
                <w:rFonts w:ascii="Calibri" w:hAnsi="Calibri" w:cs="Calibri"/>
                <w:b/>
                <w:bCs/>
                <w:color w:val="000000"/>
                <w:lang w:eastAsia="en-GB"/>
              </w:rPr>
            </w:pPr>
            <w:r w:rsidRPr="0081325D">
              <w:rPr>
                <w:rFonts w:ascii="Calibri" w:hAnsi="Calibri" w:cs="Calibri"/>
                <w:b/>
                <w:bCs/>
                <w:color w:val="000000"/>
                <w:lang w:eastAsia="en-GB"/>
              </w:rPr>
              <w:t>Continuing Operations</w:t>
            </w:r>
          </w:p>
        </w:tc>
        <w:tc>
          <w:tcPr>
            <w:tcW w:w="367" w:type="pct"/>
            <w:tcBorders>
              <w:top w:val="single" w:sz="4" w:space="0" w:color="auto"/>
              <w:left w:val="nil"/>
              <w:bottom w:val="nil"/>
              <w:right w:val="nil"/>
            </w:tcBorders>
            <w:shd w:val="clear" w:color="auto" w:fill="auto"/>
            <w:noWrap/>
            <w:vAlign w:val="center"/>
            <w:hideMark/>
          </w:tcPr>
          <w:p w14:paraId="0207260D" w14:textId="77777777" w:rsidR="005A3903" w:rsidRPr="0081325D" w:rsidRDefault="005A3903" w:rsidP="00382B43">
            <w:pPr>
              <w:jc w:val="center"/>
              <w:rPr>
                <w:rFonts w:ascii="Calibri" w:hAnsi="Calibri" w:cs="Calibri"/>
                <w:color w:val="000000"/>
                <w:lang w:eastAsia="en-GB"/>
              </w:rPr>
            </w:pPr>
            <w:r w:rsidRPr="0081325D">
              <w:rPr>
                <w:rFonts w:ascii="Calibri" w:hAnsi="Calibri" w:cs="Calibri"/>
                <w:color w:val="000000"/>
                <w:lang w:eastAsia="en-GB"/>
              </w:rPr>
              <w:t> </w:t>
            </w:r>
          </w:p>
        </w:tc>
        <w:tc>
          <w:tcPr>
            <w:tcW w:w="1102" w:type="pct"/>
            <w:tcBorders>
              <w:top w:val="single" w:sz="4" w:space="0" w:color="auto"/>
              <w:left w:val="nil"/>
              <w:bottom w:val="nil"/>
              <w:right w:val="nil"/>
            </w:tcBorders>
            <w:shd w:val="clear" w:color="000000" w:fill="FFFFFF"/>
            <w:noWrap/>
            <w:vAlign w:val="center"/>
            <w:hideMark/>
          </w:tcPr>
          <w:p w14:paraId="674B7086"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 </w:t>
            </w:r>
          </w:p>
        </w:tc>
        <w:tc>
          <w:tcPr>
            <w:tcW w:w="1035" w:type="pct"/>
            <w:tcBorders>
              <w:top w:val="single" w:sz="4" w:space="0" w:color="auto"/>
              <w:left w:val="nil"/>
              <w:bottom w:val="nil"/>
              <w:right w:val="nil"/>
            </w:tcBorders>
            <w:shd w:val="clear" w:color="000000" w:fill="FFFFFF"/>
            <w:noWrap/>
            <w:vAlign w:val="center"/>
            <w:hideMark/>
          </w:tcPr>
          <w:p w14:paraId="5428C08A"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 </w:t>
            </w:r>
          </w:p>
        </w:tc>
      </w:tr>
      <w:tr w:rsidR="005A3903" w:rsidRPr="0081325D" w14:paraId="551E95B5" w14:textId="77777777" w:rsidTr="00382B43">
        <w:trPr>
          <w:trHeight w:val="210"/>
        </w:trPr>
        <w:tc>
          <w:tcPr>
            <w:tcW w:w="2496" w:type="pct"/>
            <w:tcBorders>
              <w:top w:val="nil"/>
              <w:left w:val="nil"/>
              <w:bottom w:val="nil"/>
              <w:right w:val="nil"/>
            </w:tcBorders>
            <w:shd w:val="clear" w:color="auto" w:fill="auto"/>
            <w:noWrap/>
            <w:vAlign w:val="center"/>
            <w:hideMark/>
          </w:tcPr>
          <w:p w14:paraId="594E76F5" w14:textId="77777777" w:rsidR="005A3903" w:rsidRPr="0081325D" w:rsidRDefault="005A3903" w:rsidP="00382B43">
            <w:pPr>
              <w:jc w:val="right"/>
              <w:rPr>
                <w:rFonts w:ascii="Calibri" w:hAnsi="Calibri" w:cs="Calibri"/>
                <w:lang w:eastAsia="en-GB"/>
              </w:rPr>
            </w:pPr>
          </w:p>
        </w:tc>
        <w:tc>
          <w:tcPr>
            <w:tcW w:w="367" w:type="pct"/>
            <w:tcBorders>
              <w:top w:val="nil"/>
              <w:left w:val="nil"/>
              <w:bottom w:val="nil"/>
              <w:right w:val="nil"/>
            </w:tcBorders>
            <w:shd w:val="clear" w:color="auto" w:fill="auto"/>
            <w:noWrap/>
            <w:vAlign w:val="center"/>
            <w:hideMark/>
          </w:tcPr>
          <w:p w14:paraId="323674B0" w14:textId="77777777" w:rsidR="005A3903" w:rsidRPr="0081325D" w:rsidRDefault="005A3903" w:rsidP="00382B43">
            <w:pPr>
              <w:rPr>
                <w:sz w:val="20"/>
                <w:szCs w:val="20"/>
                <w:lang w:eastAsia="en-GB"/>
              </w:rPr>
            </w:pPr>
          </w:p>
        </w:tc>
        <w:tc>
          <w:tcPr>
            <w:tcW w:w="1102" w:type="pct"/>
            <w:tcBorders>
              <w:top w:val="nil"/>
              <w:left w:val="nil"/>
              <w:bottom w:val="nil"/>
              <w:right w:val="nil"/>
            </w:tcBorders>
            <w:shd w:val="clear" w:color="000000" w:fill="FFFFFF"/>
            <w:noWrap/>
            <w:vAlign w:val="center"/>
            <w:hideMark/>
          </w:tcPr>
          <w:p w14:paraId="6E275C0D"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 </w:t>
            </w:r>
          </w:p>
        </w:tc>
        <w:tc>
          <w:tcPr>
            <w:tcW w:w="1035" w:type="pct"/>
            <w:tcBorders>
              <w:top w:val="nil"/>
              <w:left w:val="nil"/>
              <w:bottom w:val="nil"/>
              <w:right w:val="nil"/>
            </w:tcBorders>
            <w:shd w:val="clear" w:color="000000" w:fill="FFFFFF"/>
            <w:noWrap/>
            <w:vAlign w:val="center"/>
            <w:hideMark/>
          </w:tcPr>
          <w:p w14:paraId="77034FF0"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 </w:t>
            </w:r>
          </w:p>
        </w:tc>
      </w:tr>
      <w:tr w:rsidR="005A3903" w:rsidRPr="0081325D" w14:paraId="5C3CB8B8" w14:textId="77777777" w:rsidTr="00382B43">
        <w:trPr>
          <w:trHeight w:val="468"/>
        </w:trPr>
        <w:tc>
          <w:tcPr>
            <w:tcW w:w="2496" w:type="pct"/>
            <w:tcBorders>
              <w:top w:val="nil"/>
              <w:left w:val="nil"/>
              <w:bottom w:val="nil"/>
              <w:right w:val="nil"/>
            </w:tcBorders>
            <w:shd w:val="clear" w:color="auto" w:fill="auto"/>
            <w:noWrap/>
            <w:vAlign w:val="center"/>
            <w:hideMark/>
          </w:tcPr>
          <w:p w14:paraId="116233C6" w14:textId="77777777" w:rsidR="005A3903" w:rsidRPr="0081325D" w:rsidRDefault="005A3903" w:rsidP="00382B43">
            <w:pPr>
              <w:rPr>
                <w:rFonts w:ascii="Calibri" w:hAnsi="Calibri" w:cs="Calibri"/>
                <w:color w:val="000000"/>
                <w:lang w:eastAsia="en-GB"/>
              </w:rPr>
            </w:pPr>
            <w:r w:rsidRPr="0081325D">
              <w:rPr>
                <w:rFonts w:ascii="Calibri" w:hAnsi="Calibri" w:cs="Calibri"/>
                <w:color w:val="000000"/>
                <w:lang w:eastAsia="en-GB"/>
              </w:rPr>
              <w:t>Revenue</w:t>
            </w:r>
          </w:p>
        </w:tc>
        <w:tc>
          <w:tcPr>
            <w:tcW w:w="367" w:type="pct"/>
            <w:tcBorders>
              <w:top w:val="nil"/>
              <w:left w:val="nil"/>
              <w:bottom w:val="nil"/>
              <w:right w:val="nil"/>
            </w:tcBorders>
            <w:shd w:val="clear" w:color="auto" w:fill="auto"/>
            <w:noWrap/>
            <w:vAlign w:val="center"/>
            <w:hideMark/>
          </w:tcPr>
          <w:p w14:paraId="7F68DF6F" w14:textId="77777777" w:rsidR="005A3903" w:rsidRPr="0081325D" w:rsidRDefault="005A3903" w:rsidP="00382B43">
            <w:pPr>
              <w:rPr>
                <w:rFonts w:ascii="Calibri" w:hAnsi="Calibri" w:cs="Calibri"/>
                <w:b/>
                <w:bCs/>
                <w:color w:val="000000"/>
                <w:lang w:eastAsia="en-GB"/>
              </w:rPr>
            </w:pPr>
          </w:p>
        </w:tc>
        <w:tc>
          <w:tcPr>
            <w:tcW w:w="1102" w:type="pct"/>
            <w:tcBorders>
              <w:top w:val="nil"/>
              <w:left w:val="nil"/>
              <w:bottom w:val="nil"/>
              <w:right w:val="nil"/>
            </w:tcBorders>
            <w:shd w:val="clear" w:color="000000" w:fill="FFFFFF"/>
            <w:noWrap/>
            <w:vAlign w:val="center"/>
            <w:hideMark/>
          </w:tcPr>
          <w:p w14:paraId="7550A17A"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w:t>
            </w:r>
          </w:p>
        </w:tc>
        <w:tc>
          <w:tcPr>
            <w:tcW w:w="1035" w:type="pct"/>
            <w:tcBorders>
              <w:top w:val="nil"/>
              <w:left w:val="nil"/>
              <w:bottom w:val="nil"/>
              <w:right w:val="nil"/>
            </w:tcBorders>
            <w:shd w:val="clear" w:color="000000" w:fill="FFFFFF"/>
            <w:noWrap/>
            <w:vAlign w:val="center"/>
            <w:hideMark/>
          </w:tcPr>
          <w:p w14:paraId="314FC4C6"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w:t>
            </w:r>
          </w:p>
        </w:tc>
      </w:tr>
      <w:tr w:rsidR="005A3903" w:rsidRPr="0081325D" w14:paraId="2D4F0AB3" w14:textId="77777777" w:rsidTr="00382B43">
        <w:trPr>
          <w:trHeight w:val="311"/>
        </w:trPr>
        <w:tc>
          <w:tcPr>
            <w:tcW w:w="2496" w:type="pct"/>
            <w:tcBorders>
              <w:top w:val="nil"/>
              <w:left w:val="nil"/>
              <w:bottom w:val="nil"/>
              <w:right w:val="nil"/>
            </w:tcBorders>
            <w:shd w:val="clear" w:color="auto" w:fill="auto"/>
            <w:noWrap/>
            <w:vAlign w:val="center"/>
            <w:hideMark/>
          </w:tcPr>
          <w:p w14:paraId="20874E0D" w14:textId="77777777" w:rsidR="005A3903" w:rsidRPr="0081325D" w:rsidRDefault="005A3903" w:rsidP="00382B43">
            <w:pPr>
              <w:jc w:val="right"/>
              <w:rPr>
                <w:rFonts w:ascii="Calibri" w:hAnsi="Calibri" w:cs="Calibri"/>
                <w:lang w:eastAsia="en-GB"/>
              </w:rPr>
            </w:pPr>
          </w:p>
        </w:tc>
        <w:tc>
          <w:tcPr>
            <w:tcW w:w="367" w:type="pct"/>
            <w:tcBorders>
              <w:top w:val="nil"/>
              <w:left w:val="nil"/>
              <w:bottom w:val="nil"/>
              <w:right w:val="nil"/>
            </w:tcBorders>
            <w:shd w:val="clear" w:color="auto" w:fill="auto"/>
            <w:noWrap/>
            <w:vAlign w:val="center"/>
            <w:hideMark/>
          </w:tcPr>
          <w:p w14:paraId="01CA0F16" w14:textId="77777777" w:rsidR="005A3903" w:rsidRPr="0081325D" w:rsidRDefault="005A3903" w:rsidP="00382B43">
            <w:pPr>
              <w:rPr>
                <w:sz w:val="20"/>
                <w:szCs w:val="20"/>
                <w:lang w:eastAsia="en-GB"/>
              </w:rPr>
            </w:pPr>
          </w:p>
        </w:tc>
        <w:tc>
          <w:tcPr>
            <w:tcW w:w="1102" w:type="pct"/>
            <w:tcBorders>
              <w:top w:val="nil"/>
              <w:left w:val="nil"/>
              <w:bottom w:val="nil"/>
              <w:right w:val="nil"/>
            </w:tcBorders>
            <w:shd w:val="clear" w:color="000000" w:fill="FFFFFF"/>
            <w:noWrap/>
            <w:vAlign w:val="center"/>
            <w:hideMark/>
          </w:tcPr>
          <w:p w14:paraId="3FB1619C"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 </w:t>
            </w:r>
          </w:p>
        </w:tc>
        <w:tc>
          <w:tcPr>
            <w:tcW w:w="1035" w:type="pct"/>
            <w:tcBorders>
              <w:top w:val="nil"/>
              <w:left w:val="nil"/>
              <w:bottom w:val="nil"/>
              <w:right w:val="nil"/>
            </w:tcBorders>
            <w:shd w:val="clear" w:color="000000" w:fill="FFFFFF"/>
            <w:noWrap/>
            <w:vAlign w:val="center"/>
            <w:hideMark/>
          </w:tcPr>
          <w:p w14:paraId="12FA745F"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 </w:t>
            </w:r>
          </w:p>
        </w:tc>
      </w:tr>
      <w:tr w:rsidR="005A3903" w:rsidRPr="0081325D" w14:paraId="23ACD9D5" w14:textId="77777777" w:rsidTr="00382B43">
        <w:trPr>
          <w:trHeight w:val="404"/>
        </w:trPr>
        <w:tc>
          <w:tcPr>
            <w:tcW w:w="2496" w:type="pct"/>
            <w:tcBorders>
              <w:top w:val="nil"/>
              <w:left w:val="nil"/>
              <w:bottom w:val="nil"/>
              <w:right w:val="nil"/>
            </w:tcBorders>
            <w:shd w:val="clear" w:color="auto" w:fill="auto"/>
            <w:noWrap/>
            <w:vAlign w:val="center"/>
            <w:hideMark/>
          </w:tcPr>
          <w:p w14:paraId="4C5A329E" w14:textId="77777777" w:rsidR="005A3903" w:rsidRPr="0081325D" w:rsidRDefault="005A3903" w:rsidP="00382B43">
            <w:pPr>
              <w:rPr>
                <w:rFonts w:ascii="Calibri" w:hAnsi="Calibri" w:cs="Calibri"/>
                <w:color w:val="000000"/>
                <w:lang w:eastAsia="en-GB"/>
              </w:rPr>
            </w:pPr>
            <w:r w:rsidRPr="0081325D">
              <w:rPr>
                <w:rFonts w:ascii="Calibri" w:hAnsi="Calibri" w:cs="Calibri"/>
                <w:color w:val="000000"/>
                <w:lang w:eastAsia="en-GB"/>
              </w:rPr>
              <w:t>Administrative expenses</w:t>
            </w:r>
          </w:p>
        </w:tc>
        <w:tc>
          <w:tcPr>
            <w:tcW w:w="367" w:type="pct"/>
            <w:tcBorders>
              <w:top w:val="nil"/>
              <w:left w:val="nil"/>
              <w:bottom w:val="nil"/>
              <w:right w:val="nil"/>
            </w:tcBorders>
            <w:shd w:val="clear" w:color="auto" w:fill="auto"/>
            <w:noWrap/>
            <w:vAlign w:val="center"/>
            <w:hideMark/>
          </w:tcPr>
          <w:p w14:paraId="3B54BD14" w14:textId="48E18BE0" w:rsidR="005A3903" w:rsidRPr="0081325D" w:rsidRDefault="005A3903" w:rsidP="00382B43">
            <w:pPr>
              <w:jc w:val="center"/>
              <w:rPr>
                <w:rFonts w:ascii="Calibri" w:hAnsi="Calibri" w:cs="Calibri"/>
                <w:color w:val="000000"/>
                <w:lang w:eastAsia="en-GB"/>
              </w:rPr>
            </w:pPr>
          </w:p>
        </w:tc>
        <w:tc>
          <w:tcPr>
            <w:tcW w:w="1102" w:type="pct"/>
            <w:tcBorders>
              <w:top w:val="nil"/>
              <w:left w:val="nil"/>
              <w:bottom w:val="nil"/>
              <w:right w:val="nil"/>
            </w:tcBorders>
            <w:shd w:val="clear" w:color="000000" w:fill="FFFFFF"/>
            <w:noWrap/>
            <w:vAlign w:val="center"/>
            <w:hideMark/>
          </w:tcPr>
          <w:p w14:paraId="3CE66E66" w14:textId="77777777" w:rsidR="005A3903" w:rsidRPr="0081325D" w:rsidRDefault="005A3903" w:rsidP="00382B43">
            <w:pPr>
              <w:jc w:val="right"/>
              <w:rPr>
                <w:rFonts w:ascii="Calibri" w:hAnsi="Calibri" w:cs="Calibri"/>
                <w:lang w:eastAsia="en-GB"/>
              </w:rPr>
            </w:pPr>
            <w:r w:rsidRPr="0081325D">
              <w:rPr>
                <w:rFonts w:ascii="Calibri" w:hAnsi="Calibri" w:cs="Calibri"/>
                <w:color w:val="000000"/>
                <w:lang w:eastAsia="en-GB"/>
              </w:rPr>
              <w:t>(914)</w:t>
            </w:r>
          </w:p>
        </w:tc>
        <w:tc>
          <w:tcPr>
            <w:tcW w:w="1035" w:type="pct"/>
            <w:tcBorders>
              <w:top w:val="nil"/>
              <w:left w:val="nil"/>
              <w:bottom w:val="nil"/>
              <w:right w:val="nil"/>
            </w:tcBorders>
            <w:shd w:val="clear" w:color="000000" w:fill="FFFFFF"/>
            <w:noWrap/>
            <w:vAlign w:val="center"/>
            <w:hideMark/>
          </w:tcPr>
          <w:p w14:paraId="6F26197E" w14:textId="77777777" w:rsidR="005A3903" w:rsidRPr="0081325D" w:rsidRDefault="005A3903" w:rsidP="00382B43">
            <w:pPr>
              <w:jc w:val="right"/>
              <w:rPr>
                <w:rFonts w:ascii="Calibri" w:hAnsi="Calibri" w:cs="Calibri"/>
                <w:lang w:eastAsia="en-GB"/>
              </w:rPr>
            </w:pPr>
            <w:r w:rsidRPr="0081325D">
              <w:rPr>
                <w:rFonts w:ascii="Calibri" w:hAnsi="Calibri" w:cs="Calibri"/>
                <w:color w:val="000000"/>
                <w:lang w:eastAsia="en-GB"/>
              </w:rPr>
              <w:t>(1,293)</w:t>
            </w:r>
          </w:p>
        </w:tc>
      </w:tr>
      <w:tr w:rsidR="005A3903" w:rsidRPr="0081325D" w14:paraId="4BA63695" w14:textId="77777777" w:rsidTr="00382B43">
        <w:trPr>
          <w:trHeight w:val="404"/>
        </w:trPr>
        <w:tc>
          <w:tcPr>
            <w:tcW w:w="2496" w:type="pct"/>
            <w:tcBorders>
              <w:top w:val="nil"/>
              <w:left w:val="nil"/>
              <w:bottom w:val="nil"/>
              <w:right w:val="nil"/>
            </w:tcBorders>
            <w:shd w:val="clear" w:color="auto" w:fill="auto"/>
            <w:noWrap/>
            <w:vAlign w:val="center"/>
            <w:hideMark/>
          </w:tcPr>
          <w:p w14:paraId="392D78F3" w14:textId="77777777" w:rsidR="005A3903" w:rsidRPr="0081325D" w:rsidRDefault="005A3903" w:rsidP="00382B43">
            <w:pPr>
              <w:rPr>
                <w:rFonts w:ascii="Calibri" w:hAnsi="Calibri" w:cs="Calibri"/>
                <w:color w:val="000000"/>
                <w:lang w:eastAsia="en-GB"/>
              </w:rPr>
            </w:pPr>
            <w:r w:rsidRPr="0081325D">
              <w:rPr>
                <w:rFonts w:ascii="Calibri" w:hAnsi="Calibri" w:cs="Calibri"/>
                <w:color w:val="000000"/>
                <w:lang w:eastAsia="en-GB"/>
              </w:rPr>
              <w:t>Capital loss on investments</w:t>
            </w:r>
          </w:p>
        </w:tc>
        <w:tc>
          <w:tcPr>
            <w:tcW w:w="367" w:type="pct"/>
            <w:tcBorders>
              <w:top w:val="nil"/>
              <w:left w:val="nil"/>
              <w:bottom w:val="nil"/>
              <w:right w:val="nil"/>
            </w:tcBorders>
            <w:shd w:val="clear" w:color="auto" w:fill="auto"/>
            <w:noWrap/>
            <w:vAlign w:val="center"/>
            <w:hideMark/>
          </w:tcPr>
          <w:p w14:paraId="2085E170" w14:textId="5887D7F3" w:rsidR="005A3903" w:rsidRPr="0081325D" w:rsidRDefault="005A3903" w:rsidP="00382B43">
            <w:pPr>
              <w:jc w:val="center"/>
              <w:rPr>
                <w:rFonts w:ascii="Calibri" w:hAnsi="Calibri" w:cs="Calibri"/>
                <w:color w:val="000000"/>
                <w:lang w:eastAsia="en-GB"/>
              </w:rPr>
            </w:pPr>
          </w:p>
        </w:tc>
        <w:tc>
          <w:tcPr>
            <w:tcW w:w="1102" w:type="pct"/>
            <w:tcBorders>
              <w:top w:val="nil"/>
              <w:left w:val="nil"/>
              <w:bottom w:val="nil"/>
              <w:right w:val="nil"/>
            </w:tcBorders>
            <w:shd w:val="clear" w:color="000000" w:fill="FFFFFF"/>
            <w:noWrap/>
            <w:vAlign w:val="center"/>
            <w:hideMark/>
          </w:tcPr>
          <w:p w14:paraId="4B265363" w14:textId="77777777" w:rsidR="005A3903" w:rsidRPr="0081325D" w:rsidRDefault="005A3903" w:rsidP="00382B43">
            <w:pPr>
              <w:jc w:val="right"/>
              <w:rPr>
                <w:rFonts w:ascii="Calibri" w:hAnsi="Calibri" w:cs="Calibri"/>
                <w:lang w:eastAsia="en-GB"/>
              </w:rPr>
            </w:pPr>
            <w:r w:rsidRPr="0081325D">
              <w:rPr>
                <w:rFonts w:ascii="Calibri" w:hAnsi="Calibri" w:cs="Calibri"/>
                <w:color w:val="000000"/>
                <w:lang w:eastAsia="en-GB"/>
              </w:rPr>
              <w:t>(97)</w:t>
            </w:r>
          </w:p>
        </w:tc>
        <w:tc>
          <w:tcPr>
            <w:tcW w:w="1035" w:type="pct"/>
            <w:tcBorders>
              <w:top w:val="nil"/>
              <w:left w:val="nil"/>
              <w:bottom w:val="nil"/>
              <w:right w:val="nil"/>
            </w:tcBorders>
            <w:shd w:val="clear" w:color="000000" w:fill="FFFFFF"/>
            <w:noWrap/>
            <w:vAlign w:val="center"/>
            <w:hideMark/>
          </w:tcPr>
          <w:p w14:paraId="1859E4AB"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w:t>
            </w:r>
          </w:p>
        </w:tc>
      </w:tr>
      <w:tr w:rsidR="005A3903" w:rsidRPr="0081325D" w14:paraId="3E253EF1" w14:textId="77777777" w:rsidTr="00382B43">
        <w:trPr>
          <w:trHeight w:val="311"/>
        </w:trPr>
        <w:tc>
          <w:tcPr>
            <w:tcW w:w="2496" w:type="pct"/>
            <w:tcBorders>
              <w:top w:val="nil"/>
              <w:left w:val="nil"/>
              <w:bottom w:val="nil"/>
              <w:right w:val="nil"/>
            </w:tcBorders>
            <w:shd w:val="clear" w:color="auto" w:fill="auto"/>
            <w:noWrap/>
            <w:vAlign w:val="center"/>
            <w:hideMark/>
          </w:tcPr>
          <w:p w14:paraId="4288D064" w14:textId="77777777" w:rsidR="005A3903" w:rsidRPr="0081325D" w:rsidRDefault="005A3903" w:rsidP="00382B43">
            <w:pPr>
              <w:jc w:val="right"/>
              <w:rPr>
                <w:rFonts w:ascii="Calibri" w:hAnsi="Calibri" w:cs="Calibri"/>
                <w:lang w:eastAsia="en-GB"/>
              </w:rPr>
            </w:pPr>
          </w:p>
        </w:tc>
        <w:tc>
          <w:tcPr>
            <w:tcW w:w="367" w:type="pct"/>
            <w:tcBorders>
              <w:top w:val="nil"/>
              <w:left w:val="nil"/>
              <w:bottom w:val="nil"/>
              <w:right w:val="nil"/>
            </w:tcBorders>
            <w:shd w:val="clear" w:color="auto" w:fill="auto"/>
            <w:noWrap/>
            <w:vAlign w:val="center"/>
            <w:hideMark/>
          </w:tcPr>
          <w:p w14:paraId="15AF5323" w14:textId="77777777" w:rsidR="005A3903" w:rsidRPr="0081325D" w:rsidRDefault="005A3903" w:rsidP="00382B43">
            <w:pPr>
              <w:rPr>
                <w:sz w:val="20"/>
                <w:szCs w:val="20"/>
                <w:lang w:eastAsia="en-GB"/>
              </w:rPr>
            </w:pPr>
          </w:p>
        </w:tc>
        <w:tc>
          <w:tcPr>
            <w:tcW w:w="1102" w:type="pct"/>
            <w:tcBorders>
              <w:top w:val="nil"/>
              <w:left w:val="nil"/>
              <w:bottom w:val="nil"/>
              <w:right w:val="nil"/>
            </w:tcBorders>
            <w:shd w:val="clear" w:color="000000" w:fill="FFFFFF"/>
            <w:noWrap/>
            <w:vAlign w:val="center"/>
            <w:hideMark/>
          </w:tcPr>
          <w:p w14:paraId="02153225"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 </w:t>
            </w:r>
          </w:p>
        </w:tc>
        <w:tc>
          <w:tcPr>
            <w:tcW w:w="1035" w:type="pct"/>
            <w:tcBorders>
              <w:top w:val="nil"/>
              <w:left w:val="nil"/>
              <w:bottom w:val="nil"/>
              <w:right w:val="nil"/>
            </w:tcBorders>
            <w:shd w:val="clear" w:color="000000" w:fill="FFFFFF"/>
            <w:noWrap/>
            <w:vAlign w:val="center"/>
            <w:hideMark/>
          </w:tcPr>
          <w:p w14:paraId="02317369"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 </w:t>
            </w:r>
          </w:p>
        </w:tc>
      </w:tr>
      <w:tr w:rsidR="005A3903" w:rsidRPr="0081325D" w14:paraId="272F369B" w14:textId="77777777" w:rsidTr="00382B43">
        <w:trPr>
          <w:trHeight w:val="468"/>
        </w:trPr>
        <w:tc>
          <w:tcPr>
            <w:tcW w:w="2496" w:type="pct"/>
            <w:tcBorders>
              <w:top w:val="single" w:sz="4" w:space="0" w:color="auto"/>
              <w:left w:val="nil"/>
              <w:bottom w:val="single" w:sz="4" w:space="0" w:color="auto"/>
              <w:right w:val="nil"/>
            </w:tcBorders>
            <w:shd w:val="clear" w:color="auto" w:fill="auto"/>
            <w:noWrap/>
            <w:vAlign w:val="center"/>
            <w:hideMark/>
          </w:tcPr>
          <w:p w14:paraId="35EC6C14" w14:textId="77777777" w:rsidR="005A3903" w:rsidRPr="0081325D" w:rsidRDefault="005A3903" w:rsidP="00382B43">
            <w:pPr>
              <w:rPr>
                <w:rFonts w:ascii="Calibri" w:hAnsi="Calibri" w:cs="Calibri"/>
                <w:b/>
                <w:bCs/>
                <w:color w:val="000000"/>
                <w:lang w:eastAsia="en-GB"/>
              </w:rPr>
            </w:pPr>
            <w:r w:rsidRPr="0081325D">
              <w:rPr>
                <w:rFonts w:ascii="Calibri" w:hAnsi="Calibri" w:cs="Calibri"/>
                <w:b/>
                <w:bCs/>
                <w:color w:val="000000"/>
                <w:lang w:eastAsia="en-GB"/>
              </w:rPr>
              <w:t>Operating loss</w:t>
            </w:r>
          </w:p>
        </w:tc>
        <w:tc>
          <w:tcPr>
            <w:tcW w:w="367" w:type="pct"/>
            <w:tcBorders>
              <w:top w:val="single" w:sz="4" w:space="0" w:color="auto"/>
              <w:left w:val="nil"/>
              <w:bottom w:val="single" w:sz="4" w:space="0" w:color="auto"/>
              <w:right w:val="nil"/>
            </w:tcBorders>
            <w:shd w:val="clear" w:color="auto" w:fill="auto"/>
            <w:noWrap/>
            <w:vAlign w:val="center"/>
            <w:hideMark/>
          </w:tcPr>
          <w:p w14:paraId="49FB06DE" w14:textId="77777777" w:rsidR="005A3903" w:rsidRPr="0081325D" w:rsidRDefault="005A3903" w:rsidP="00382B43">
            <w:pPr>
              <w:jc w:val="center"/>
              <w:rPr>
                <w:rFonts w:ascii="Calibri" w:hAnsi="Calibri" w:cs="Calibri"/>
                <w:color w:val="000000"/>
                <w:lang w:eastAsia="en-GB"/>
              </w:rPr>
            </w:pPr>
            <w:r w:rsidRPr="0081325D">
              <w:rPr>
                <w:rFonts w:ascii="Calibri" w:hAnsi="Calibri" w:cs="Calibri"/>
                <w:color w:val="000000"/>
                <w:lang w:eastAsia="en-GB"/>
              </w:rPr>
              <w:t> </w:t>
            </w:r>
          </w:p>
        </w:tc>
        <w:tc>
          <w:tcPr>
            <w:tcW w:w="1102" w:type="pct"/>
            <w:tcBorders>
              <w:top w:val="single" w:sz="4" w:space="0" w:color="auto"/>
              <w:left w:val="nil"/>
              <w:bottom w:val="single" w:sz="4" w:space="0" w:color="auto"/>
              <w:right w:val="nil"/>
            </w:tcBorders>
            <w:shd w:val="clear" w:color="000000" w:fill="FFFFFF"/>
            <w:noWrap/>
            <w:vAlign w:val="center"/>
            <w:hideMark/>
          </w:tcPr>
          <w:p w14:paraId="3E43570E" w14:textId="77777777" w:rsidR="005A3903" w:rsidRPr="0081325D" w:rsidRDefault="005A3903" w:rsidP="00382B43">
            <w:pPr>
              <w:jc w:val="right"/>
              <w:rPr>
                <w:rFonts w:ascii="Calibri" w:hAnsi="Calibri" w:cs="Calibri"/>
                <w:b/>
                <w:bCs/>
                <w:lang w:eastAsia="en-GB"/>
              </w:rPr>
            </w:pPr>
            <w:r w:rsidRPr="0081325D">
              <w:rPr>
                <w:rFonts w:ascii="Calibri" w:hAnsi="Calibri" w:cs="Calibri"/>
                <w:b/>
                <w:bCs/>
                <w:color w:val="000000"/>
                <w:lang w:eastAsia="en-GB"/>
              </w:rPr>
              <w:t>(1,011)</w:t>
            </w:r>
          </w:p>
        </w:tc>
        <w:tc>
          <w:tcPr>
            <w:tcW w:w="1035" w:type="pct"/>
            <w:tcBorders>
              <w:top w:val="single" w:sz="4" w:space="0" w:color="auto"/>
              <w:left w:val="nil"/>
              <w:bottom w:val="single" w:sz="4" w:space="0" w:color="auto"/>
              <w:right w:val="nil"/>
            </w:tcBorders>
            <w:shd w:val="clear" w:color="000000" w:fill="FFFFFF"/>
            <w:noWrap/>
            <w:vAlign w:val="center"/>
            <w:hideMark/>
          </w:tcPr>
          <w:p w14:paraId="386F76D9" w14:textId="77777777" w:rsidR="005A3903" w:rsidRPr="0081325D" w:rsidRDefault="005A3903" w:rsidP="00382B43">
            <w:pPr>
              <w:jc w:val="right"/>
              <w:rPr>
                <w:rFonts w:ascii="Calibri" w:hAnsi="Calibri" w:cs="Calibri"/>
                <w:b/>
                <w:bCs/>
                <w:lang w:eastAsia="en-GB"/>
              </w:rPr>
            </w:pPr>
            <w:r w:rsidRPr="0081325D">
              <w:rPr>
                <w:rFonts w:ascii="Calibri" w:hAnsi="Calibri" w:cs="Calibri"/>
                <w:b/>
                <w:bCs/>
                <w:color w:val="000000"/>
                <w:lang w:eastAsia="en-GB"/>
              </w:rPr>
              <w:t>(1,293)</w:t>
            </w:r>
          </w:p>
        </w:tc>
      </w:tr>
      <w:tr w:rsidR="005A3903" w:rsidRPr="0081325D" w14:paraId="553244D1" w14:textId="77777777" w:rsidTr="00382B43">
        <w:trPr>
          <w:trHeight w:val="242"/>
        </w:trPr>
        <w:tc>
          <w:tcPr>
            <w:tcW w:w="2496" w:type="pct"/>
            <w:tcBorders>
              <w:top w:val="nil"/>
              <w:left w:val="nil"/>
              <w:bottom w:val="nil"/>
              <w:right w:val="nil"/>
            </w:tcBorders>
            <w:shd w:val="clear" w:color="auto" w:fill="auto"/>
            <w:noWrap/>
            <w:vAlign w:val="center"/>
            <w:hideMark/>
          </w:tcPr>
          <w:p w14:paraId="594E8EA1" w14:textId="77777777" w:rsidR="005A3903" w:rsidRPr="0081325D" w:rsidRDefault="005A3903" w:rsidP="00382B43">
            <w:pPr>
              <w:jc w:val="right"/>
              <w:rPr>
                <w:rFonts w:ascii="Calibri" w:hAnsi="Calibri" w:cs="Calibri"/>
                <w:b/>
                <w:bCs/>
                <w:lang w:eastAsia="en-GB"/>
              </w:rPr>
            </w:pPr>
          </w:p>
        </w:tc>
        <w:tc>
          <w:tcPr>
            <w:tcW w:w="367" w:type="pct"/>
            <w:tcBorders>
              <w:top w:val="nil"/>
              <w:left w:val="nil"/>
              <w:bottom w:val="nil"/>
              <w:right w:val="nil"/>
            </w:tcBorders>
            <w:shd w:val="clear" w:color="auto" w:fill="auto"/>
            <w:noWrap/>
            <w:vAlign w:val="center"/>
            <w:hideMark/>
          </w:tcPr>
          <w:p w14:paraId="35C2AAC7" w14:textId="77777777" w:rsidR="005A3903" w:rsidRPr="0081325D" w:rsidRDefault="005A3903" w:rsidP="00382B43">
            <w:pPr>
              <w:rPr>
                <w:sz w:val="20"/>
                <w:szCs w:val="20"/>
                <w:lang w:eastAsia="en-GB"/>
              </w:rPr>
            </w:pPr>
          </w:p>
        </w:tc>
        <w:tc>
          <w:tcPr>
            <w:tcW w:w="1102" w:type="pct"/>
            <w:tcBorders>
              <w:top w:val="nil"/>
              <w:left w:val="nil"/>
              <w:bottom w:val="nil"/>
              <w:right w:val="nil"/>
            </w:tcBorders>
            <w:shd w:val="clear" w:color="000000" w:fill="FFFFFF"/>
            <w:noWrap/>
            <w:vAlign w:val="center"/>
            <w:hideMark/>
          </w:tcPr>
          <w:p w14:paraId="081E6A8A" w14:textId="77777777" w:rsidR="005A3903" w:rsidRPr="0081325D" w:rsidRDefault="005A3903" w:rsidP="00382B43">
            <w:pPr>
              <w:jc w:val="right"/>
              <w:rPr>
                <w:rFonts w:ascii="Calibri" w:hAnsi="Calibri" w:cs="Calibri"/>
                <w:b/>
                <w:bCs/>
                <w:lang w:eastAsia="en-GB"/>
              </w:rPr>
            </w:pPr>
            <w:r w:rsidRPr="0081325D">
              <w:rPr>
                <w:rFonts w:ascii="Calibri" w:hAnsi="Calibri" w:cs="Calibri"/>
                <w:b/>
                <w:bCs/>
                <w:lang w:eastAsia="en-GB"/>
              </w:rPr>
              <w:t> </w:t>
            </w:r>
          </w:p>
        </w:tc>
        <w:tc>
          <w:tcPr>
            <w:tcW w:w="1035" w:type="pct"/>
            <w:tcBorders>
              <w:top w:val="nil"/>
              <w:left w:val="nil"/>
              <w:bottom w:val="nil"/>
              <w:right w:val="nil"/>
            </w:tcBorders>
            <w:shd w:val="clear" w:color="000000" w:fill="FFFFFF"/>
            <w:noWrap/>
            <w:vAlign w:val="center"/>
            <w:hideMark/>
          </w:tcPr>
          <w:p w14:paraId="11E9E63C" w14:textId="77777777" w:rsidR="005A3903" w:rsidRPr="0081325D" w:rsidRDefault="005A3903" w:rsidP="00382B43">
            <w:pPr>
              <w:jc w:val="right"/>
              <w:rPr>
                <w:rFonts w:ascii="Calibri" w:hAnsi="Calibri" w:cs="Calibri"/>
                <w:b/>
                <w:bCs/>
                <w:lang w:eastAsia="en-GB"/>
              </w:rPr>
            </w:pPr>
            <w:r w:rsidRPr="0081325D">
              <w:rPr>
                <w:rFonts w:ascii="Calibri" w:hAnsi="Calibri" w:cs="Calibri"/>
                <w:b/>
                <w:bCs/>
                <w:lang w:eastAsia="en-GB"/>
              </w:rPr>
              <w:t> </w:t>
            </w:r>
          </w:p>
        </w:tc>
      </w:tr>
      <w:tr w:rsidR="005A3903" w:rsidRPr="0081325D" w14:paraId="587B47E3" w14:textId="77777777" w:rsidTr="00382B43">
        <w:trPr>
          <w:trHeight w:val="468"/>
        </w:trPr>
        <w:tc>
          <w:tcPr>
            <w:tcW w:w="2496" w:type="pct"/>
            <w:tcBorders>
              <w:top w:val="single" w:sz="4" w:space="0" w:color="auto"/>
              <w:left w:val="nil"/>
              <w:bottom w:val="single" w:sz="4" w:space="0" w:color="auto"/>
              <w:right w:val="nil"/>
            </w:tcBorders>
            <w:shd w:val="clear" w:color="auto" w:fill="auto"/>
            <w:noWrap/>
            <w:vAlign w:val="center"/>
            <w:hideMark/>
          </w:tcPr>
          <w:p w14:paraId="0486E889" w14:textId="77777777" w:rsidR="005A3903" w:rsidRPr="0081325D" w:rsidRDefault="005A3903" w:rsidP="00382B43">
            <w:pPr>
              <w:rPr>
                <w:rFonts w:ascii="Calibri" w:hAnsi="Calibri" w:cs="Calibri"/>
                <w:b/>
                <w:bCs/>
                <w:color w:val="000000"/>
                <w:lang w:eastAsia="en-GB"/>
              </w:rPr>
            </w:pPr>
            <w:r w:rsidRPr="0081325D">
              <w:rPr>
                <w:rFonts w:ascii="Calibri" w:hAnsi="Calibri" w:cs="Calibri"/>
                <w:b/>
                <w:bCs/>
                <w:color w:val="000000"/>
                <w:lang w:eastAsia="en-GB"/>
              </w:rPr>
              <w:t>Loss before taxation</w:t>
            </w:r>
          </w:p>
        </w:tc>
        <w:tc>
          <w:tcPr>
            <w:tcW w:w="367" w:type="pct"/>
            <w:tcBorders>
              <w:top w:val="single" w:sz="4" w:space="0" w:color="auto"/>
              <w:left w:val="nil"/>
              <w:bottom w:val="single" w:sz="4" w:space="0" w:color="auto"/>
              <w:right w:val="nil"/>
            </w:tcBorders>
            <w:shd w:val="clear" w:color="auto" w:fill="auto"/>
            <w:noWrap/>
            <w:vAlign w:val="center"/>
            <w:hideMark/>
          </w:tcPr>
          <w:p w14:paraId="469384BE" w14:textId="77777777" w:rsidR="005A3903" w:rsidRPr="0081325D" w:rsidRDefault="005A3903" w:rsidP="00382B43">
            <w:pPr>
              <w:jc w:val="center"/>
              <w:rPr>
                <w:rFonts w:ascii="Calibri" w:hAnsi="Calibri" w:cs="Calibri"/>
                <w:color w:val="000000"/>
                <w:lang w:eastAsia="en-GB"/>
              </w:rPr>
            </w:pPr>
            <w:r w:rsidRPr="0081325D">
              <w:rPr>
                <w:rFonts w:ascii="Calibri" w:hAnsi="Calibri" w:cs="Calibri"/>
                <w:color w:val="000000"/>
                <w:lang w:eastAsia="en-GB"/>
              </w:rPr>
              <w:t> </w:t>
            </w:r>
          </w:p>
        </w:tc>
        <w:tc>
          <w:tcPr>
            <w:tcW w:w="1102" w:type="pct"/>
            <w:tcBorders>
              <w:top w:val="single" w:sz="4" w:space="0" w:color="auto"/>
              <w:left w:val="nil"/>
              <w:bottom w:val="single" w:sz="4" w:space="0" w:color="auto"/>
              <w:right w:val="nil"/>
            </w:tcBorders>
            <w:shd w:val="clear" w:color="000000" w:fill="FFFFFF"/>
            <w:noWrap/>
            <w:vAlign w:val="center"/>
            <w:hideMark/>
          </w:tcPr>
          <w:p w14:paraId="245856F9" w14:textId="77777777" w:rsidR="005A3903" w:rsidRPr="0081325D" w:rsidRDefault="005A3903" w:rsidP="00382B43">
            <w:pPr>
              <w:jc w:val="right"/>
              <w:rPr>
                <w:rFonts w:ascii="Calibri" w:hAnsi="Calibri" w:cs="Calibri"/>
                <w:b/>
                <w:bCs/>
                <w:lang w:eastAsia="en-GB"/>
              </w:rPr>
            </w:pPr>
            <w:r w:rsidRPr="0081325D">
              <w:rPr>
                <w:rFonts w:ascii="Calibri" w:hAnsi="Calibri" w:cs="Calibri"/>
                <w:b/>
                <w:bCs/>
                <w:color w:val="000000"/>
                <w:lang w:eastAsia="en-GB"/>
              </w:rPr>
              <w:t>(1,011)</w:t>
            </w:r>
          </w:p>
        </w:tc>
        <w:tc>
          <w:tcPr>
            <w:tcW w:w="1035" w:type="pct"/>
            <w:tcBorders>
              <w:top w:val="single" w:sz="4" w:space="0" w:color="auto"/>
              <w:left w:val="nil"/>
              <w:bottom w:val="single" w:sz="4" w:space="0" w:color="auto"/>
              <w:right w:val="nil"/>
            </w:tcBorders>
            <w:shd w:val="clear" w:color="000000" w:fill="FFFFFF"/>
            <w:noWrap/>
            <w:vAlign w:val="center"/>
            <w:hideMark/>
          </w:tcPr>
          <w:p w14:paraId="6C0D6226" w14:textId="77777777" w:rsidR="005A3903" w:rsidRPr="0081325D" w:rsidRDefault="005A3903" w:rsidP="00382B43">
            <w:pPr>
              <w:jc w:val="right"/>
              <w:rPr>
                <w:rFonts w:ascii="Calibri" w:hAnsi="Calibri" w:cs="Calibri"/>
                <w:b/>
                <w:bCs/>
                <w:lang w:eastAsia="en-GB"/>
              </w:rPr>
            </w:pPr>
            <w:r w:rsidRPr="0081325D">
              <w:rPr>
                <w:rFonts w:ascii="Calibri" w:hAnsi="Calibri" w:cs="Calibri"/>
                <w:b/>
                <w:bCs/>
                <w:color w:val="000000"/>
                <w:lang w:eastAsia="en-GB"/>
              </w:rPr>
              <w:t>(1,293)</w:t>
            </w:r>
          </w:p>
        </w:tc>
      </w:tr>
      <w:tr w:rsidR="005A3903" w:rsidRPr="0081325D" w14:paraId="70B66B00" w14:textId="77777777" w:rsidTr="00382B43">
        <w:trPr>
          <w:trHeight w:val="242"/>
        </w:trPr>
        <w:tc>
          <w:tcPr>
            <w:tcW w:w="2496" w:type="pct"/>
            <w:tcBorders>
              <w:top w:val="nil"/>
              <w:left w:val="nil"/>
              <w:bottom w:val="nil"/>
              <w:right w:val="nil"/>
            </w:tcBorders>
            <w:shd w:val="clear" w:color="auto" w:fill="auto"/>
            <w:noWrap/>
            <w:vAlign w:val="center"/>
            <w:hideMark/>
          </w:tcPr>
          <w:p w14:paraId="0C81A184" w14:textId="77777777" w:rsidR="005A3903" w:rsidRPr="0081325D" w:rsidRDefault="005A3903" w:rsidP="00382B43">
            <w:pPr>
              <w:jc w:val="right"/>
              <w:rPr>
                <w:rFonts w:ascii="Calibri" w:hAnsi="Calibri" w:cs="Calibri"/>
                <w:b/>
                <w:bCs/>
                <w:lang w:eastAsia="en-GB"/>
              </w:rPr>
            </w:pPr>
          </w:p>
        </w:tc>
        <w:tc>
          <w:tcPr>
            <w:tcW w:w="367" w:type="pct"/>
            <w:tcBorders>
              <w:top w:val="nil"/>
              <w:left w:val="nil"/>
              <w:bottom w:val="nil"/>
              <w:right w:val="nil"/>
            </w:tcBorders>
            <w:shd w:val="clear" w:color="auto" w:fill="auto"/>
            <w:noWrap/>
            <w:vAlign w:val="center"/>
            <w:hideMark/>
          </w:tcPr>
          <w:p w14:paraId="641DF475" w14:textId="77777777" w:rsidR="005A3903" w:rsidRPr="0081325D" w:rsidRDefault="005A3903" w:rsidP="00382B43">
            <w:pPr>
              <w:rPr>
                <w:sz w:val="20"/>
                <w:szCs w:val="20"/>
                <w:lang w:eastAsia="en-GB"/>
              </w:rPr>
            </w:pPr>
          </w:p>
        </w:tc>
        <w:tc>
          <w:tcPr>
            <w:tcW w:w="1102" w:type="pct"/>
            <w:tcBorders>
              <w:top w:val="nil"/>
              <w:left w:val="nil"/>
              <w:bottom w:val="nil"/>
              <w:right w:val="nil"/>
            </w:tcBorders>
            <w:shd w:val="clear" w:color="000000" w:fill="FFFFFF"/>
            <w:noWrap/>
            <w:vAlign w:val="center"/>
            <w:hideMark/>
          </w:tcPr>
          <w:p w14:paraId="6C380C7C" w14:textId="77777777" w:rsidR="005A3903" w:rsidRPr="0081325D" w:rsidRDefault="005A3903" w:rsidP="00382B43">
            <w:pPr>
              <w:jc w:val="right"/>
              <w:rPr>
                <w:rFonts w:ascii="Calibri" w:hAnsi="Calibri" w:cs="Calibri"/>
                <w:b/>
                <w:bCs/>
                <w:lang w:eastAsia="en-GB"/>
              </w:rPr>
            </w:pPr>
            <w:r w:rsidRPr="0081325D">
              <w:rPr>
                <w:rFonts w:ascii="Calibri" w:hAnsi="Calibri" w:cs="Calibri"/>
                <w:b/>
                <w:bCs/>
                <w:lang w:eastAsia="en-GB"/>
              </w:rPr>
              <w:t> </w:t>
            </w:r>
          </w:p>
        </w:tc>
        <w:tc>
          <w:tcPr>
            <w:tcW w:w="1035" w:type="pct"/>
            <w:tcBorders>
              <w:top w:val="nil"/>
              <w:left w:val="nil"/>
              <w:bottom w:val="nil"/>
              <w:right w:val="nil"/>
            </w:tcBorders>
            <w:shd w:val="clear" w:color="000000" w:fill="FFFFFF"/>
            <w:noWrap/>
            <w:vAlign w:val="center"/>
            <w:hideMark/>
          </w:tcPr>
          <w:p w14:paraId="3D43E509" w14:textId="77777777" w:rsidR="005A3903" w:rsidRPr="0081325D" w:rsidRDefault="005A3903" w:rsidP="00382B43">
            <w:pPr>
              <w:jc w:val="right"/>
              <w:rPr>
                <w:rFonts w:ascii="Calibri" w:hAnsi="Calibri" w:cs="Calibri"/>
                <w:b/>
                <w:bCs/>
                <w:lang w:eastAsia="en-GB"/>
              </w:rPr>
            </w:pPr>
            <w:r w:rsidRPr="0081325D">
              <w:rPr>
                <w:rFonts w:ascii="Calibri" w:hAnsi="Calibri" w:cs="Calibri"/>
                <w:b/>
                <w:bCs/>
                <w:lang w:eastAsia="en-GB"/>
              </w:rPr>
              <w:t> </w:t>
            </w:r>
          </w:p>
        </w:tc>
      </w:tr>
      <w:tr w:rsidR="005A3903" w:rsidRPr="0081325D" w14:paraId="5A1BDEB9" w14:textId="77777777" w:rsidTr="00382B43">
        <w:trPr>
          <w:trHeight w:val="242"/>
        </w:trPr>
        <w:tc>
          <w:tcPr>
            <w:tcW w:w="2496" w:type="pct"/>
            <w:tcBorders>
              <w:top w:val="nil"/>
              <w:left w:val="nil"/>
              <w:bottom w:val="nil"/>
              <w:right w:val="nil"/>
            </w:tcBorders>
            <w:shd w:val="clear" w:color="auto" w:fill="auto"/>
            <w:noWrap/>
            <w:vAlign w:val="center"/>
            <w:hideMark/>
          </w:tcPr>
          <w:p w14:paraId="2133CBF3" w14:textId="77777777" w:rsidR="005A3903" w:rsidRPr="0081325D" w:rsidRDefault="005A3903" w:rsidP="00382B43">
            <w:pPr>
              <w:rPr>
                <w:rFonts w:ascii="Calibri" w:hAnsi="Calibri" w:cs="Calibri"/>
                <w:b/>
                <w:bCs/>
                <w:color w:val="000000"/>
                <w:lang w:eastAsia="en-GB"/>
              </w:rPr>
            </w:pPr>
            <w:r w:rsidRPr="0081325D">
              <w:rPr>
                <w:rFonts w:ascii="Calibri" w:hAnsi="Calibri" w:cs="Calibri"/>
                <w:b/>
                <w:bCs/>
                <w:color w:val="000000"/>
                <w:lang w:eastAsia="en-GB"/>
              </w:rPr>
              <w:t>Taxation</w:t>
            </w:r>
          </w:p>
        </w:tc>
        <w:tc>
          <w:tcPr>
            <w:tcW w:w="367" w:type="pct"/>
            <w:tcBorders>
              <w:top w:val="nil"/>
              <w:left w:val="nil"/>
              <w:bottom w:val="nil"/>
              <w:right w:val="nil"/>
            </w:tcBorders>
            <w:shd w:val="clear" w:color="auto" w:fill="auto"/>
            <w:noWrap/>
            <w:vAlign w:val="center"/>
            <w:hideMark/>
          </w:tcPr>
          <w:p w14:paraId="5B23E0F3" w14:textId="4E00F2BA" w:rsidR="005A3903" w:rsidRPr="0081325D" w:rsidRDefault="005A3903" w:rsidP="00382B43">
            <w:pPr>
              <w:jc w:val="center"/>
              <w:rPr>
                <w:rFonts w:ascii="Calibri" w:hAnsi="Calibri" w:cs="Calibri"/>
                <w:color w:val="000000"/>
                <w:lang w:eastAsia="en-GB"/>
              </w:rPr>
            </w:pPr>
          </w:p>
        </w:tc>
        <w:tc>
          <w:tcPr>
            <w:tcW w:w="1102" w:type="pct"/>
            <w:tcBorders>
              <w:top w:val="nil"/>
              <w:left w:val="nil"/>
              <w:bottom w:val="nil"/>
              <w:right w:val="nil"/>
            </w:tcBorders>
            <w:shd w:val="clear" w:color="000000" w:fill="FFFFFF"/>
            <w:noWrap/>
            <w:vAlign w:val="center"/>
            <w:hideMark/>
          </w:tcPr>
          <w:p w14:paraId="0A79A28C"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w:t>
            </w:r>
          </w:p>
        </w:tc>
        <w:tc>
          <w:tcPr>
            <w:tcW w:w="1035" w:type="pct"/>
            <w:tcBorders>
              <w:top w:val="nil"/>
              <w:left w:val="nil"/>
              <w:bottom w:val="nil"/>
              <w:right w:val="nil"/>
            </w:tcBorders>
            <w:shd w:val="clear" w:color="000000" w:fill="FFFFFF"/>
            <w:noWrap/>
            <w:vAlign w:val="center"/>
            <w:hideMark/>
          </w:tcPr>
          <w:p w14:paraId="775D8748"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w:t>
            </w:r>
          </w:p>
        </w:tc>
      </w:tr>
      <w:tr w:rsidR="005A3903" w:rsidRPr="0081325D" w14:paraId="50D66A22" w14:textId="77777777" w:rsidTr="00382B43">
        <w:trPr>
          <w:trHeight w:val="242"/>
        </w:trPr>
        <w:tc>
          <w:tcPr>
            <w:tcW w:w="2496" w:type="pct"/>
            <w:tcBorders>
              <w:top w:val="nil"/>
              <w:left w:val="nil"/>
              <w:bottom w:val="nil"/>
              <w:right w:val="nil"/>
            </w:tcBorders>
            <w:shd w:val="clear" w:color="auto" w:fill="auto"/>
            <w:noWrap/>
            <w:vAlign w:val="center"/>
            <w:hideMark/>
          </w:tcPr>
          <w:p w14:paraId="7A3C4BED" w14:textId="77777777" w:rsidR="005A3903" w:rsidRPr="0081325D" w:rsidRDefault="005A3903" w:rsidP="00382B43">
            <w:pPr>
              <w:jc w:val="right"/>
              <w:rPr>
                <w:rFonts w:ascii="Calibri" w:hAnsi="Calibri" w:cs="Calibri"/>
                <w:lang w:eastAsia="en-GB"/>
              </w:rPr>
            </w:pPr>
          </w:p>
        </w:tc>
        <w:tc>
          <w:tcPr>
            <w:tcW w:w="367" w:type="pct"/>
            <w:tcBorders>
              <w:top w:val="nil"/>
              <w:left w:val="nil"/>
              <w:bottom w:val="nil"/>
              <w:right w:val="nil"/>
            </w:tcBorders>
            <w:shd w:val="clear" w:color="auto" w:fill="auto"/>
            <w:noWrap/>
            <w:vAlign w:val="center"/>
            <w:hideMark/>
          </w:tcPr>
          <w:p w14:paraId="7639B270" w14:textId="77777777" w:rsidR="005A3903" w:rsidRPr="0081325D" w:rsidRDefault="005A3903" w:rsidP="00382B43">
            <w:pPr>
              <w:rPr>
                <w:sz w:val="20"/>
                <w:szCs w:val="20"/>
                <w:lang w:eastAsia="en-GB"/>
              </w:rPr>
            </w:pPr>
          </w:p>
        </w:tc>
        <w:tc>
          <w:tcPr>
            <w:tcW w:w="1102" w:type="pct"/>
            <w:tcBorders>
              <w:top w:val="nil"/>
              <w:left w:val="nil"/>
              <w:bottom w:val="nil"/>
              <w:right w:val="nil"/>
            </w:tcBorders>
            <w:shd w:val="clear" w:color="000000" w:fill="FFFFFF"/>
            <w:noWrap/>
            <w:vAlign w:val="center"/>
            <w:hideMark/>
          </w:tcPr>
          <w:p w14:paraId="1E7F6FE5" w14:textId="77777777" w:rsidR="005A3903" w:rsidRPr="0081325D" w:rsidRDefault="005A3903" w:rsidP="00382B43">
            <w:pPr>
              <w:jc w:val="right"/>
              <w:rPr>
                <w:rFonts w:ascii="Calibri" w:hAnsi="Calibri" w:cs="Calibri"/>
                <w:b/>
                <w:bCs/>
                <w:lang w:eastAsia="en-GB"/>
              </w:rPr>
            </w:pPr>
            <w:r w:rsidRPr="0081325D">
              <w:rPr>
                <w:rFonts w:ascii="Calibri" w:hAnsi="Calibri" w:cs="Calibri"/>
                <w:b/>
                <w:bCs/>
                <w:lang w:eastAsia="en-GB"/>
              </w:rPr>
              <w:t> </w:t>
            </w:r>
          </w:p>
        </w:tc>
        <w:tc>
          <w:tcPr>
            <w:tcW w:w="1035" w:type="pct"/>
            <w:tcBorders>
              <w:top w:val="nil"/>
              <w:left w:val="nil"/>
              <w:bottom w:val="nil"/>
              <w:right w:val="nil"/>
            </w:tcBorders>
            <w:shd w:val="clear" w:color="000000" w:fill="FFFFFF"/>
            <w:noWrap/>
            <w:vAlign w:val="center"/>
            <w:hideMark/>
          </w:tcPr>
          <w:p w14:paraId="19F46BC0" w14:textId="77777777" w:rsidR="005A3903" w:rsidRPr="0081325D" w:rsidRDefault="005A3903" w:rsidP="00382B43">
            <w:pPr>
              <w:jc w:val="right"/>
              <w:rPr>
                <w:rFonts w:ascii="Calibri" w:hAnsi="Calibri" w:cs="Calibri"/>
                <w:b/>
                <w:bCs/>
                <w:lang w:eastAsia="en-GB"/>
              </w:rPr>
            </w:pPr>
            <w:r w:rsidRPr="0081325D">
              <w:rPr>
                <w:rFonts w:ascii="Calibri" w:hAnsi="Calibri" w:cs="Calibri"/>
                <w:b/>
                <w:bCs/>
                <w:lang w:eastAsia="en-GB"/>
              </w:rPr>
              <w:t> </w:t>
            </w:r>
          </w:p>
        </w:tc>
      </w:tr>
      <w:tr w:rsidR="005A3903" w:rsidRPr="0081325D" w14:paraId="657D9135" w14:textId="77777777" w:rsidTr="00382B43">
        <w:trPr>
          <w:trHeight w:val="468"/>
        </w:trPr>
        <w:tc>
          <w:tcPr>
            <w:tcW w:w="2496" w:type="pct"/>
            <w:tcBorders>
              <w:top w:val="single" w:sz="4" w:space="0" w:color="auto"/>
              <w:left w:val="nil"/>
              <w:bottom w:val="single" w:sz="4" w:space="0" w:color="auto"/>
              <w:right w:val="nil"/>
            </w:tcBorders>
            <w:shd w:val="clear" w:color="auto" w:fill="auto"/>
            <w:noWrap/>
            <w:vAlign w:val="center"/>
            <w:hideMark/>
          </w:tcPr>
          <w:p w14:paraId="4CB27BD5" w14:textId="77777777" w:rsidR="005A3903" w:rsidRPr="0081325D" w:rsidRDefault="005A3903" w:rsidP="00382B43">
            <w:pPr>
              <w:rPr>
                <w:rFonts w:ascii="Calibri" w:hAnsi="Calibri" w:cs="Calibri"/>
                <w:b/>
                <w:bCs/>
                <w:color w:val="000000"/>
                <w:lang w:eastAsia="en-GB"/>
              </w:rPr>
            </w:pPr>
            <w:r w:rsidRPr="0081325D">
              <w:rPr>
                <w:rFonts w:ascii="Calibri" w:hAnsi="Calibri" w:cs="Calibri"/>
                <w:b/>
                <w:bCs/>
                <w:color w:val="000000"/>
                <w:lang w:eastAsia="en-GB"/>
              </w:rPr>
              <w:t>Loss after taxation</w:t>
            </w:r>
          </w:p>
        </w:tc>
        <w:tc>
          <w:tcPr>
            <w:tcW w:w="367" w:type="pct"/>
            <w:tcBorders>
              <w:top w:val="single" w:sz="4" w:space="0" w:color="auto"/>
              <w:left w:val="nil"/>
              <w:bottom w:val="single" w:sz="4" w:space="0" w:color="auto"/>
              <w:right w:val="nil"/>
            </w:tcBorders>
            <w:shd w:val="clear" w:color="auto" w:fill="auto"/>
            <w:noWrap/>
            <w:vAlign w:val="center"/>
            <w:hideMark/>
          </w:tcPr>
          <w:p w14:paraId="76458047" w14:textId="77777777" w:rsidR="005A3903" w:rsidRPr="0081325D" w:rsidRDefault="005A3903" w:rsidP="00382B43">
            <w:pPr>
              <w:jc w:val="center"/>
              <w:rPr>
                <w:rFonts w:ascii="Calibri" w:hAnsi="Calibri" w:cs="Calibri"/>
                <w:color w:val="000000"/>
                <w:lang w:eastAsia="en-GB"/>
              </w:rPr>
            </w:pPr>
            <w:r w:rsidRPr="0081325D">
              <w:rPr>
                <w:rFonts w:ascii="Calibri" w:hAnsi="Calibri" w:cs="Calibri"/>
                <w:color w:val="000000"/>
                <w:lang w:eastAsia="en-GB"/>
              </w:rPr>
              <w:t> </w:t>
            </w:r>
          </w:p>
        </w:tc>
        <w:tc>
          <w:tcPr>
            <w:tcW w:w="1102" w:type="pct"/>
            <w:tcBorders>
              <w:top w:val="single" w:sz="4" w:space="0" w:color="auto"/>
              <w:left w:val="nil"/>
              <w:bottom w:val="single" w:sz="4" w:space="0" w:color="auto"/>
              <w:right w:val="nil"/>
            </w:tcBorders>
            <w:shd w:val="clear" w:color="000000" w:fill="FFFFFF"/>
            <w:noWrap/>
            <w:vAlign w:val="center"/>
            <w:hideMark/>
          </w:tcPr>
          <w:p w14:paraId="63572531" w14:textId="77777777" w:rsidR="005A3903" w:rsidRPr="0081325D" w:rsidRDefault="005A3903" w:rsidP="00382B43">
            <w:pPr>
              <w:jc w:val="right"/>
              <w:rPr>
                <w:rFonts w:ascii="Calibri" w:hAnsi="Calibri" w:cs="Calibri"/>
                <w:b/>
                <w:bCs/>
                <w:lang w:eastAsia="en-GB"/>
              </w:rPr>
            </w:pPr>
            <w:r w:rsidRPr="0081325D">
              <w:rPr>
                <w:rFonts w:ascii="Calibri" w:hAnsi="Calibri" w:cs="Calibri"/>
                <w:b/>
                <w:bCs/>
                <w:color w:val="000000"/>
                <w:lang w:eastAsia="en-GB"/>
              </w:rPr>
              <w:t>(1,011)</w:t>
            </w:r>
          </w:p>
        </w:tc>
        <w:tc>
          <w:tcPr>
            <w:tcW w:w="1035" w:type="pct"/>
            <w:tcBorders>
              <w:top w:val="single" w:sz="4" w:space="0" w:color="auto"/>
              <w:left w:val="nil"/>
              <w:bottom w:val="single" w:sz="4" w:space="0" w:color="auto"/>
              <w:right w:val="nil"/>
            </w:tcBorders>
            <w:shd w:val="clear" w:color="000000" w:fill="FFFFFF"/>
            <w:noWrap/>
            <w:vAlign w:val="center"/>
            <w:hideMark/>
          </w:tcPr>
          <w:p w14:paraId="213ABD51" w14:textId="77777777" w:rsidR="005A3903" w:rsidRPr="0081325D" w:rsidRDefault="005A3903" w:rsidP="00382B43">
            <w:pPr>
              <w:jc w:val="right"/>
              <w:rPr>
                <w:rFonts w:ascii="Calibri" w:hAnsi="Calibri" w:cs="Calibri"/>
                <w:b/>
                <w:bCs/>
                <w:lang w:eastAsia="en-GB"/>
              </w:rPr>
            </w:pPr>
            <w:r w:rsidRPr="0081325D">
              <w:rPr>
                <w:rFonts w:ascii="Calibri" w:hAnsi="Calibri" w:cs="Calibri"/>
                <w:b/>
                <w:bCs/>
                <w:color w:val="000000"/>
                <w:lang w:eastAsia="en-GB"/>
              </w:rPr>
              <w:t>(1,293)</w:t>
            </w:r>
          </w:p>
        </w:tc>
      </w:tr>
      <w:tr w:rsidR="005A3903" w:rsidRPr="0081325D" w14:paraId="66C1613F" w14:textId="77777777" w:rsidTr="00382B43">
        <w:trPr>
          <w:trHeight w:val="242"/>
        </w:trPr>
        <w:tc>
          <w:tcPr>
            <w:tcW w:w="2496" w:type="pct"/>
            <w:tcBorders>
              <w:top w:val="nil"/>
              <w:left w:val="nil"/>
              <w:bottom w:val="nil"/>
              <w:right w:val="nil"/>
            </w:tcBorders>
            <w:shd w:val="clear" w:color="auto" w:fill="auto"/>
            <w:noWrap/>
            <w:vAlign w:val="center"/>
            <w:hideMark/>
          </w:tcPr>
          <w:p w14:paraId="1D3894B8" w14:textId="77777777" w:rsidR="005A3903" w:rsidRPr="0081325D" w:rsidRDefault="005A3903" w:rsidP="00382B43">
            <w:pPr>
              <w:jc w:val="right"/>
              <w:rPr>
                <w:rFonts w:ascii="Calibri" w:hAnsi="Calibri" w:cs="Calibri"/>
                <w:b/>
                <w:bCs/>
                <w:lang w:eastAsia="en-GB"/>
              </w:rPr>
            </w:pPr>
          </w:p>
        </w:tc>
        <w:tc>
          <w:tcPr>
            <w:tcW w:w="367" w:type="pct"/>
            <w:tcBorders>
              <w:top w:val="nil"/>
              <w:left w:val="nil"/>
              <w:bottom w:val="nil"/>
              <w:right w:val="nil"/>
            </w:tcBorders>
            <w:shd w:val="clear" w:color="auto" w:fill="auto"/>
            <w:noWrap/>
            <w:vAlign w:val="center"/>
            <w:hideMark/>
          </w:tcPr>
          <w:p w14:paraId="1EAE10FE" w14:textId="77777777" w:rsidR="005A3903" w:rsidRPr="0081325D" w:rsidRDefault="005A3903" w:rsidP="00382B43">
            <w:pPr>
              <w:rPr>
                <w:sz w:val="20"/>
                <w:szCs w:val="20"/>
                <w:lang w:eastAsia="en-GB"/>
              </w:rPr>
            </w:pPr>
          </w:p>
        </w:tc>
        <w:tc>
          <w:tcPr>
            <w:tcW w:w="1102" w:type="pct"/>
            <w:tcBorders>
              <w:top w:val="nil"/>
              <w:left w:val="nil"/>
              <w:bottom w:val="nil"/>
              <w:right w:val="nil"/>
            </w:tcBorders>
            <w:shd w:val="clear" w:color="000000" w:fill="FFFFFF"/>
            <w:noWrap/>
            <w:vAlign w:val="center"/>
            <w:hideMark/>
          </w:tcPr>
          <w:p w14:paraId="16CE91F4" w14:textId="77777777" w:rsidR="005A3903" w:rsidRPr="0081325D" w:rsidRDefault="005A3903" w:rsidP="00382B43">
            <w:pPr>
              <w:jc w:val="right"/>
              <w:rPr>
                <w:rFonts w:ascii="Calibri" w:hAnsi="Calibri" w:cs="Calibri"/>
                <w:b/>
                <w:bCs/>
                <w:lang w:eastAsia="en-GB"/>
              </w:rPr>
            </w:pPr>
            <w:r w:rsidRPr="0081325D">
              <w:rPr>
                <w:rFonts w:ascii="Calibri" w:hAnsi="Calibri" w:cs="Calibri"/>
                <w:b/>
                <w:bCs/>
                <w:lang w:eastAsia="en-GB"/>
              </w:rPr>
              <w:t> </w:t>
            </w:r>
          </w:p>
        </w:tc>
        <w:tc>
          <w:tcPr>
            <w:tcW w:w="1035" w:type="pct"/>
            <w:tcBorders>
              <w:top w:val="nil"/>
              <w:left w:val="nil"/>
              <w:bottom w:val="nil"/>
              <w:right w:val="nil"/>
            </w:tcBorders>
            <w:shd w:val="clear" w:color="000000" w:fill="FFFFFF"/>
            <w:noWrap/>
            <w:vAlign w:val="center"/>
            <w:hideMark/>
          </w:tcPr>
          <w:p w14:paraId="0DC20187" w14:textId="77777777" w:rsidR="005A3903" w:rsidRPr="0081325D" w:rsidRDefault="005A3903" w:rsidP="00382B43">
            <w:pPr>
              <w:jc w:val="right"/>
              <w:rPr>
                <w:rFonts w:ascii="Calibri" w:hAnsi="Calibri" w:cs="Calibri"/>
                <w:b/>
                <w:bCs/>
                <w:lang w:eastAsia="en-GB"/>
              </w:rPr>
            </w:pPr>
            <w:r w:rsidRPr="0081325D">
              <w:rPr>
                <w:rFonts w:ascii="Calibri" w:hAnsi="Calibri" w:cs="Calibri"/>
                <w:b/>
                <w:bCs/>
                <w:lang w:eastAsia="en-GB"/>
              </w:rPr>
              <w:t> </w:t>
            </w:r>
          </w:p>
        </w:tc>
      </w:tr>
      <w:tr w:rsidR="005A3903" w:rsidRPr="0081325D" w14:paraId="0F025601" w14:textId="77777777" w:rsidTr="00382B43">
        <w:trPr>
          <w:trHeight w:val="323"/>
        </w:trPr>
        <w:tc>
          <w:tcPr>
            <w:tcW w:w="2496" w:type="pct"/>
            <w:tcBorders>
              <w:top w:val="nil"/>
              <w:left w:val="nil"/>
              <w:bottom w:val="nil"/>
              <w:right w:val="nil"/>
            </w:tcBorders>
            <w:shd w:val="clear" w:color="auto" w:fill="auto"/>
            <w:noWrap/>
            <w:vAlign w:val="center"/>
            <w:hideMark/>
          </w:tcPr>
          <w:p w14:paraId="23BC997C" w14:textId="77777777" w:rsidR="005A3903" w:rsidRPr="0081325D" w:rsidRDefault="005A3903" w:rsidP="00382B43">
            <w:pPr>
              <w:rPr>
                <w:rFonts w:ascii="Calibri" w:hAnsi="Calibri" w:cs="Calibri"/>
                <w:color w:val="000000"/>
                <w:lang w:eastAsia="en-GB"/>
              </w:rPr>
            </w:pPr>
            <w:r w:rsidRPr="0081325D">
              <w:rPr>
                <w:rFonts w:ascii="Calibri" w:hAnsi="Calibri" w:cs="Calibri"/>
                <w:color w:val="000000"/>
                <w:lang w:eastAsia="en-GB"/>
              </w:rPr>
              <w:t>Other comprehensive income</w:t>
            </w:r>
          </w:p>
        </w:tc>
        <w:tc>
          <w:tcPr>
            <w:tcW w:w="367" w:type="pct"/>
            <w:tcBorders>
              <w:top w:val="nil"/>
              <w:left w:val="nil"/>
              <w:bottom w:val="nil"/>
              <w:right w:val="nil"/>
            </w:tcBorders>
            <w:shd w:val="clear" w:color="auto" w:fill="auto"/>
            <w:noWrap/>
            <w:vAlign w:val="center"/>
            <w:hideMark/>
          </w:tcPr>
          <w:p w14:paraId="1558FD98" w14:textId="46F83725" w:rsidR="005A3903" w:rsidRPr="0081325D" w:rsidRDefault="005A3903" w:rsidP="00382B43">
            <w:pPr>
              <w:jc w:val="center"/>
              <w:rPr>
                <w:rFonts w:ascii="Calibri" w:hAnsi="Calibri" w:cs="Calibri"/>
                <w:color w:val="000000"/>
                <w:lang w:eastAsia="en-GB"/>
              </w:rPr>
            </w:pPr>
          </w:p>
        </w:tc>
        <w:tc>
          <w:tcPr>
            <w:tcW w:w="1102" w:type="pct"/>
            <w:tcBorders>
              <w:top w:val="nil"/>
              <w:left w:val="nil"/>
              <w:bottom w:val="nil"/>
              <w:right w:val="nil"/>
            </w:tcBorders>
            <w:shd w:val="clear" w:color="000000" w:fill="FFFFFF"/>
            <w:noWrap/>
            <w:vAlign w:val="center"/>
            <w:hideMark/>
          </w:tcPr>
          <w:p w14:paraId="12057801"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5</w:t>
            </w:r>
          </w:p>
        </w:tc>
        <w:tc>
          <w:tcPr>
            <w:tcW w:w="1035" w:type="pct"/>
            <w:tcBorders>
              <w:top w:val="nil"/>
              <w:left w:val="nil"/>
              <w:bottom w:val="nil"/>
              <w:right w:val="nil"/>
            </w:tcBorders>
            <w:shd w:val="clear" w:color="auto" w:fill="auto"/>
            <w:noWrap/>
            <w:vAlign w:val="bottom"/>
            <w:hideMark/>
          </w:tcPr>
          <w:p w14:paraId="76D97249"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24</w:t>
            </w:r>
          </w:p>
        </w:tc>
      </w:tr>
      <w:tr w:rsidR="005A3903" w:rsidRPr="0081325D" w14:paraId="4EBD572B" w14:textId="77777777" w:rsidTr="00382B43">
        <w:trPr>
          <w:trHeight w:val="242"/>
        </w:trPr>
        <w:tc>
          <w:tcPr>
            <w:tcW w:w="2496" w:type="pct"/>
            <w:tcBorders>
              <w:top w:val="nil"/>
              <w:left w:val="nil"/>
              <w:bottom w:val="nil"/>
              <w:right w:val="nil"/>
            </w:tcBorders>
            <w:shd w:val="clear" w:color="auto" w:fill="auto"/>
            <w:noWrap/>
            <w:vAlign w:val="center"/>
            <w:hideMark/>
          </w:tcPr>
          <w:p w14:paraId="67AA2506" w14:textId="77777777" w:rsidR="005A3903" w:rsidRPr="0081325D" w:rsidRDefault="005A3903" w:rsidP="00382B43">
            <w:pPr>
              <w:rPr>
                <w:sz w:val="20"/>
                <w:szCs w:val="20"/>
                <w:lang w:eastAsia="en-GB"/>
              </w:rPr>
            </w:pPr>
          </w:p>
        </w:tc>
        <w:tc>
          <w:tcPr>
            <w:tcW w:w="367" w:type="pct"/>
            <w:tcBorders>
              <w:top w:val="nil"/>
              <w:left w:val="nil"/>
              <w:bottom w:val="nil"/>
              <w:right w:val="nil"/>
            </w:tcBorders>
            <w:shd w:val="clear" w:color="auto" w:fill="auto"/>
            <w:noWrap/>
            <w:vAlign w:val="center"/>
            <w:hideMark/>
          </w:tcPr>
          <w:p w14:paraId="055B4E05" w14:textId="77777777" w:rsidR="005A3903" w:rsidRPr="0081325D" w:rsidRDefault="005A3903" w:rsidP="00382B43">
            <w:pPr>
              <w:rPr>
                <w:sz w:val="20"/>
                <w:szCs w:val="20"/>
                <w:lang w:eastAsia="en-GB"/>
              </w:rPr>
            </w:pPr>
          </w:p>
        </w:tc>
        <w:tc>
          <w:tcPr>
            <w:tcW w:w="1102" w:type="pct"/>
            <w:tcBorders>
              <w:top w:val="nil"/>
              <w:left w:val="nil"/>
              <w:bottom w:val="nil"/>
              <w:right w:val="nil"/>
            </w:tcBorders>
            <w:shd w:val="clear" w:color="000000" w:fill="FFFFFF"/>
            <w:noWrap/>
            <w:vAlign w:val="center"/>
            <w:hideMark/>
          </w:tcPr>
          <w:p w14:paraId="1ACCCC71"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 </w:t>
            </w:r>
          </w:p>
        </w:tc>
        <w:tc>
          <w:tcPr>
            <w:tcW w:w="1035" w:type="pct"/>
            <w:tcBorders>
              <w:top w:val="nil"/>
              <w:left w:val="nil"/>
              <w:bottom w:val="nil"/>
              <w:right w:val="nil"/>
            </w:tcBorders>
            <w:shd w:val="clear" w:color="000000" w:fill="FFFFFF"/>
            <w:noWrap/>
            <w:vAlign w:val="center"/>
            <w:hideMark/>
          </w:tcPr>
          <w:p w14:paraId="3DCBCE7D" w14:textId="77777777" w:rsidR="005A3903" w:rsidRPr="0081325D" w:rsidRDefault="005A3903" w:rsidP="00382B43">
            <w:pPr>
              <w:jc w:val="right"/>
              <w:rPr>
                <w:rFonts w:ascii="Calibri" w:hAnsi="Calibri" w:cs="Calibri"/>
                <w:lang w:eastAsia="en-GB"/>
              </w:rPr>
            </w:pPr>
          </w:p>
        </w:tc>
      </w:tr>
      <w:tr w:rsidR="005A3903" w:rsidRPr="0081325D" w14:paraId="37ED3454" w14:textId="77777777" w:rsidTr="00382B43">
        <w:trPr>
          <w:trHeight w:val="840"/>
        </w:trPr>
        <w:tc>
          <w:tcPr>
            <w:tcW w:w="2496" w:type="pct"/>
            <w:tcBorders>
              <w:top w:val="single" w:sz="4" w:space="0" w:color="auto"/>
              <w:left w:val="nil"/>
              <w:bottom w:val="single" w:sz="4" w:space="0" w:color="auto"/>
              <w:right w:val="nil"/>
            </w:tcBorders>
            <w:shd w:val="clear" w:color="auto" w:fill="auto"/>
            <w:vAlign w:val="center"/>
            <w:hideMark/>
          </w:tcPr>
          <w:p w14:paraId="50C5EA95" w14:textId="77777777" w:rsidR="005A3903" w:rsidRPr="0081325D" w:rsidRDefault="005A3903" w:rsidP="00382B43">
            <w:pPr>
              <w:rPr>
                <w:rFonts w:ascii="Calibri" w:hAnsi="Calibri" w:cs="Calibri"/>
                <w:b/>
                <w:bCs/>
                <w:color w:val="000000"/>
                <w:lang w:eastAsia="en-GB"/>
              </w:rPr>
            </w:pPr>
            <w:r w:rsidRPr="0081325D">
              <w:rPr>
                <w:rFonts w:ascii="Calibri" w:hAnsi="Calibri" w:cs="Calibri"/>
                <w:b/>
                <w:bCs/>
                <w:color w:val="000000"/>
                <w:lang w:eastAsia="en-GB"/>
              </w:rPr>
              <w:t>Total comprehensive loss for the year attributable to shareholders from continuing operations</w:t>
            </w:r>
          </w:p>
        </w:tc>
        <w:tc>
          <w:tcPr>
            <w:tcW w:w="367" w:type="pct"/>
            <w:tcBorders>
              <w:top w:val="single" w:sz="4" w:space="0" w:color="auto"/>
              <w:left w:val="nil"/>
              <w:bottom w:val="single" w:sz="4" w:space="0" w:color="auto"/>
              <w:right w:val="nil"/>
            </w:tcBorders>
            <w:shd w:val="clear" w:color="auto" w:fill="auto"/>
            <w:noWrap/>
            <w:vAlign w:val="center"/>
            <w:hideMark/>
          </w:tcPr>
          <w:p w14:paraId="53C5276D" w14:textId="77777777" w:rsidR="005A3903" w:rsidRPr="0081325D" w:rsidRDefault="005A3903" w:rsidP="00382B43">
            <w:pPr>
              <w:jc w:val="center"/>
              <w:rPr>
                <w:rFonts w:ascii="Calibri" w:hAnsi="Calibri" w:cs="Calibri"/>
                <w:color w:val="000000"/>
                <w:lang w:eastAsia="en-GB"/>
              </w:rPr>
            </w:pPr>
            <w:r w:rsidRPr="0081325D">
              <w:rPr>
                <w:rFonts w:ascii="Calibri" w:hAnsi="Calibri" w:cs="Calibri"/>
                <w:color w:val="000000"/>
                <w:lang w:eastAsia="en-GB"/>
              </w:rPr>
              <w:t> </w:t>
            </w:r>
          </w:p>
        </w:tc>
        <w:tc>
          <w:tcPr>
            <w:tcW w:w="1102" w:type="pct"/>
            <w:tcBorders>
              <w:top w:val="single" w:sz="4" w:space="0" w:color="auto"/>
              <w:left w:val="nil"/>
              <w:bottom w:val="single" w:sz="4" w:space="0" w:color="auto"/>
              <w:right w:val="nil"/>
            </w:tcBorders>
            <w:shd w:val="clear" w:color="000000" w:fill="FFFFFF"/>
            <w:noWrap/>
            <w:vAlign w:val="center"/>
            <w:hideMark/>
          </w:tcPr>
          <w:p w14:paraId="4D865D82" w14:textId="77777777" w:rsidR="005A3903" w:rsidRPr="0081325D" w:rsidRDefault="005A3903" w:rsidP="00382B43">
            <w:pPr>
              <w:jc w:val="right"/>
              <w:rPr>
                <w:rFonts w:ascii="Calibri" w:hAnsi="Calibri" w:cs="Calibri"/>
                <w:b/>
                <w:bCs/>
                <w:lang w:eastAsia="en-GB"/>
              </w:rPr>
            </w:pPr>
            <w:r w:rsidRPr="0081325D">
              <w:rPr>
                <w:rFonts w:ascii="Calibri" w:hAnsi="Calibri" w:cs="Calibri"/>
                <w:b/>
                <w:bCs/>
                <w:color w:val="000000"/>
                <w:lang w:eastAsia="en-GB"/>
              </w:rPr>
              <w:t>(1,006)</w:t>
            </w:r>
          </w:p>
        </w:tc>
        <w:tc>
          <w:tcPr>
            <w:tcW w:w="1035" w:type="pct"/>
            <w:tcBorders>
              <w:top w:val="single" w:sz="4" w:space="0" w:color="auto"/>
              <w:left w:val="nil"/>
              <w:bottom w:val="single" w:sz="4" w:space="0" w:color="auto"/>
              <w:right w:val="nil"/>
            </w:tcBorders>
            <w:shd w:val="clear" w:color="000000" w:fill="FFFFFF"/>
            <w:noWrap/>
            <w:vAlign w:val="center"/>
            <w:hideMark/>
          </w:tcPr>
          <w:p w14:paraId="36BE270F" w14:textId="77777777" w:rsidR="005A3903" w:rsidRPr="0081325D" w:rsidRDefault="005A3903" w:rsidP="00382B43">
            <w:pPr>
              <w:jc w:val="right"/>
              <w:rPr>
                <w:rFonts w:ascii="Calibri" w:hAnsi="Calibri" w:cs="Calibri"/>
                <w:b/>
                <w:bCs/>
                <w:lang w:eastAsia="en-GB"/>
              </w:rPr>
            </w:pPr>
            <w:r w:rsidRPr="0081325D">
              <w:rPr>
                <w:rFonts w:ascii="Calibri" w:hAnsi="Calibri" w:cs="Calibri"/>
                <w:b/>
                <w:bCs/>
                <w:color w:val="000000"/>
                <w:lang w:eastAsia="en-GB"/>
              </w:rPr>
              <w:t>(1,269)</w:t>
            </w:r>
          </w:p>
        </w:tc>
      </w:tr>
      <w:tr w:rsidR="005A3903" w:rsidRPr="0081325D" w14:paraId="5960DA70" w14:textId="77777777" w:rsidTr="00382B43">
        <w:trPr>
          <w:trHeight w:val="242"/>
        </w:trPr>
        <w:tc>
          <w:tcPr>
            <w:tcW w:w="2496" w:type="pct"/>
            <w:tcBorders>
              <w:top w:val="nil"/>
              <w:left w:val="nil"/>
              <w:bottom w:val="nil"/>
              <w:right w:val="nil"/>
            </w:tcBorders>
            <w:shd w:val="clear" w:color="auto" w:fill="auto"/>
            <w:noWrap/>
            <w:vAlign w:val="center"/>
            <w:hideMark/>
          </w:tcPr>
          <w:p w14:paraId="21FD581A" w14:textId="77777777" w:rsidR="005A3903" w:rsidRPr="0081325D" w:rsidRDefault="005A3903" w:rsidP="00382B43">
            <w:pPr>
              <w:jc w:val="right"/>
              <w:rPr>
                <w:rFonts w:ascii="Calibri" w:hAnsi="Calibri" w:cs="Calibri"/>
                <w:b/>
                <w:bCs/>
                <w:lang w:eastAsia="en-GB"/>
              </w:rPr>
            </w:pPr>
          </w:p>
        </w:tc>
        <w:tc>
          <w:tcPr>
            <w:tcW w:w="367" w:type="pct"/>
            <w:tcBorders>
              <w:top w:val="nil"/>
              <w:left w:val="nil"/>
              <w:bottom w:val="nil"/>
              <w:right w:val="nil"/>
            </w:tcBorders>
            <w:shd w:val="clear" w:color="auto" w:fill="auto"/>
            <w:noWrap/>
            <w:vAlign w:val="center"/>
            <w:hideMark/>
          </w:tcPr>
          <w:p w14:paraId="0F29B244" w14:textId="77777777" w:rsidR="005A3903" w:rsidRPr="0081325D" w:rsidRDefault="005A3903" w:rsidP="00382B43">
            <w:pPr>
              <w:rPr>
                <w:sz w:val="20"/>
                <w:szCs w:val="20"/>
                <w:lang w:eastAsia="en-GB"/>
              </w:rPr>
            </w:pPr>
          </w:p>
        </w:tc>
        <w:tc>
          <w:tcPr>
            <w:tcW w:w="1102" w:type="pct"/>
            <w:tcBorders>
              <w:top w:val="nil"/>
              <w:left w:val="nil"/>
              <w:bottom w:val="nil"/>
              <w:right w:val="nil"/>
            </w:tcBorders>
            <w:shd w:val="clear" w:color="000000" w:fill="FFFFFF"/>
            <w:noWrap/>
            <w:vAlign w:val="center"/>
            <w:hideMark/>
          </w:tcPr>
          <w:p w14:paraId="4DA8A5DB" w14:textId="77777777" w:rsidR="005A3903" w:rsidRPr="0081325D" w:rsidRDefault="005A3903" w:rsidP="00382B43">
            <w:pPr>
              <w:jc w:val="right"/>
              <w:rPr>
                <w:rFonts w:ascii="Calibri" w:hAnsi="Calibri" w:cs="Calibri"/>
                <w:b/>
                <w:bCs/>
                <w:lang w:eastAsia="en-GB"/>
              </w:rPr>
            </w:pPr>
            <w:r w:rsidRPr="0081325D">
              <w:rPr>
                <w:rFonts w:ascii="Calibri" w:hAnsi="Calibri" w:cs="Calibri"/>
                <w:b/>
                <w:bCs/>
                <w:lang w:eastAsia="en-GB"/>
              </w:rPr>
              <w:t> </w:t>
            </w:r>
          </w:p>
        </w:tc>
        <w:tc>
          <w:tcPr>
            <w:tcW w:w="1035" w:type="pct"/>
            <w:tcBorders>
              <w:top w:val="nil"/>
              <w:left w:val="nil"/>
              <w:bottom w:val="nil"/>
              <w:right w:val="nil"/>
            </w:tcBorders>
            <w:shd w:val="clear" w:color="000000" w:fill="FFFFFF"/>
            <w:noWrap/>
            <w:vAlign w:val="center"/>
            <w:hideMark/>
          </w:tcPr>
          <w:p w14:paraId="59EFA384" w14:textId="77777777" w:rsidR="005A3903" w:rsidRPr="0081325D" w:rsidRDefault="005A3903" w:rsidP="00382B43">
            <w:pPr>
              <w:jc w:val="right"/>
              <w:rPr>
                <w:rFonts w:ascii="Calibri" w:hAnsi="Calibri" w:cs="Calibri"/>
                <w:b/>
                <w:bCs/>
                <w:lang w:eastAsia="en-GB"/>
              </w:rPr>
            </w:pPr>
            <w:r w:rsidRPr="0081325D">
              <w:rPr>
                <w:rFonts w:ascii="Calibri" w:hAnsi="Calibri" w:cs="Calibri"/>
                <w:b/>
                <w:bCs/>
                <w:lang w:eastAsia="en-GB"/>
              </w:rPr>
              <w:t> </w:t>
            </w:r>
          </w:p>
        </w:tc>
      </w:tr>
      <w:tr w:rsidR="005A3903" w:rsidRPr="0081325D" w14:paraId="4743E6C5" w14:textId="77777777" w:rsidTr="00382B43">
        <w:trPr>
          <w:trHeight w:val="436"/>
        </w:trPr>
        <w:tc>
          <w:tcPr>
            <w:tcW w:w="2496" w:type="pct"/>
            <w:tcBorders>
              <w:top w:val="nil"/>
              <w:left w:val="nil"/>
              <w:bottom w:val="nil"/>
              <w:right w:val="nil"/>
            </w:tcBorders>
            <w:shd w:val="clear" w:color="auto" w:fill="auto"/>
            <w:noWrap/>
            <w:vAlign w:val="center"/>
            <w:hideMark/>
          </w:tcPr>
          <w:p w14:paraId="73A8F292" w14:textId="77777777" w:rsidR="005A3903" w:rsidRPr="0081325D" w:rsidRDefault="005A3903" w:rsidP="00382B43">
            <w:pPr>
              <w:rPr>
                <w:rFonts w:ascii="Calibri" w:hAnsi="Calibri" w:cs="Calibri"/>
                <w:color w:val="000000"/>
                <w:lang w:eastAsia="en-GB"/>
              </w:rPr>
            </w:pPr>
            <w:r w:rsidRPr="0081325D">
              <w:rPr>
                <w:rFonts w:ascii="Calibri" w:hAnsi="Calibri" w:cs="Calibri"/>
                <w:color w:val="000000"/>
                <w:lang w:eastAsia="en-GB"/>
              </w:rPr>
              <w:t>Basic earnings per share - pence</w:t>
            </w:r>
          </w:p>
        </w:tc>
        <w:tc>
          <w:tcPr>
            <w:tcW w:w="367" w:type="pct"/>
            <w:vMerge w:val="restart"/>
            <w:tcBorders>
              <w:top w:val="nil"/>
              <w:left w:val="nil"/>
              <w:bottom w:val="single" w:sz="8" w:space="0" w:color="000000"/>
              <w:right w:val="nil"/>
            </w:tcBorders>
            <w:shd w:val="clear" w:color="auto" w:fill="auto"/>
            <w:noWrap/>
            <w:vAlign w:val="center"/>
            <w:hideMark/>
          </w:tcPr>
          <w:p w14:paraId="336EBCDB" w14:textId="2F2F5582" w:rsidR="005A3903" w:rsidRPr="0081325D" w:rsidRDefault="005A3903" w:rsidP="00382B43">
            <w:pPr>
              <w:jc w:val="center"/>
              <w:rPr>
                <w:rFonts w:ascii="Calibri" w:hAnsi="Calibri" w:cs="Calibri"/>
                <w:color w:val="000000"/>
                <w:lang w:eastAsia="en-GB"/>
              </w:rPr>
            </w:pPr>
          </w:p>
        </w:tc>
        <w:tc>
          <w:tcPr>
            <w:tcW w:w="1102" w:type="pct"/>
            <w:tcBorders>
              <w:top w:val="nil"/>
              <w:left w:val="nil"/>
              <w:bottom w:val="nil"/>
              <w:right w:val="nil"/>
            </w:tcBorders>
            <w:shd w:val="clear" w:color="000000" w:fill="FFFFFF"/>
            <w:noWrap/>
            <w:vAlign w:val="center"/>
            <w:hideMark/>
          </w:tcPr>
          <w:p w14:paraId="3A4FF41A"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(0.34)</w:t>
            </w:r>
          </w:p>
        </w:tc>
        <w:tc>
          <w:tcPr>
            <w:tcW w:w="1035" w:type="pct"/>
            <w:tcBorders>
              <w:top w:val="nil"/>
              <w:left w:val="nil"/>
              <w:bottom w:val="nil"/>
              <w:right w:val="nil"/>
            </w:tcBorders>
            <w:shd w:val="clear" w:color="000000" w:fill="FFFFFF"/>
            <w:noWrap/>
            <w:vAlign w:val="center"/>
            <w:hideMark/>
          </w:tcPr>
          <w:p w14:paraId="28545B6B"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 xml:space="preserve">(0.59) </w:t>
            </w:r>
          </w:p>
        </w:tc>
      </w:tr>
      <w:tr w:rsidR="005A3903" w:rsidRPr="0081325D" w14:paraId="722BF9E5" w14:textId="77777777" w:rsidTr="00382B43">
        <w:trPr>
          <w:trHeight w:val="242"/>
        </w:trPr>
        <w:tc>
          <w:tcPr>
            <w:tcW w:w="2496" w:type="pct"/>
            <w:tcBorders>
              <w:top w:val="nil"/>
              <w:left w:val="nil"/>
              <w:bottom w:val="nil"/>
              <w:right w:val="nil"/>
            </w:tcBorders>
            <w:shd w:val="clear" w:color="auto" w:fill="auto"/>
            <w:noWrap/>
            <w:vAlign w:val="center"/>
            <w:hideMark/>
          </w:tcPr>
          <w:p w14:paraId="12F8F7AC" w14:textId="77777777" w:rsidR="005A3903" w:rsidRPr="0081325D" w:rsidRDefault="005A3903" w:rsidP="00382B43">
            <w:pPr>
              <w:jc w:val="right"/>
              <w:rPr>
                <w:rFonts w:ascii="Calibri" w:hAnsi="Calibri" w:cs="Calibri"/>
                <w:lang w:eastAsia="en-GB"/>
              </w:rPr>
            </w:pPr>
          </w:p>
        </w:tc>
        <w:tc>
          <w:tcPr>
            <w:tcW w:w="367" w:type="pct"/>
            <w:vMerge/>
            <w:tcBorders>
              <w:top w:val="nil"/>
              <w:left w:val="nil"/>
              <w:bottom w:val="single" w:sz="8" w:space="0" w:color="000000"/>
              <w:right w:val="nil"/>
            </w:tcBorders>
            <w:vAlign w:val="center"/>
            <w:hideMark/>
          </w:tcPr>
          <w:p w14:paraId="74424EBC" w14:textId="77777777" w:rsidR="005A3903" w:rsidRPr="0081325D" w:rsidRDefault="005A3903" w:rsidP="00382B43">
            <w:pPr>
              <w:rPr>
                <w:rFonts w:ascii="Calibri" w:hAnsi="Calibri" w:cs="Calibri"/>
                <w:color w:val="000000"/>
                <w:lang w:eastAsia="en-GB"/>
              </w:rPr>
            </w:pPr>
          </w:p>
        </w:tc>
        <w:tc>
          <w:tcPr>
            <w:tcW w:w="1102" w:type="pct"/>
            <w:tcBorders>
              <w:top w:val="nil"/>
              <w:left w:val="nil"/>
              <w:bottom w:val="nil"/>
              <w:right w:val="nil"/>
            </w:tcBorders>
            <w:shd w:val="clear" w:color="000000" w:fill="FFFFFF"/>
            <w:noWrap/>
            <w:vAlign w:val="center"/>
            <w:hideMark/>
          </w:tcPr>
          <w:p w14:paraId="2ED3668D"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 </w:t>
            </w:r>
          </w:p>
        </w:tc>
        <w:tc>
          <w:tcPr>
            <w:tcW w:w="1035" w:type="pct"/>
            <w:tcBorders>
              <w:top w:val="nil"/>
              <w:left w:val="nil"/>
              <w:bottom w:val="nil"/>
              <w:right w:val="nil"/>
            </w:tcBorders>
            <w:shd w:val="clear" w:color="000000" w:fill="FFFFFF"/>
            <w:noWrap/>
            <w:vAlign w:val="center"/>
            <w:hideMark/>
          </w:tcPr>
          <w:p w14:paraId="7F120A8F"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 </w:t>
            </w:r>
          </w:p>
        </w:tc>
      </w:tr>
      <w:tr w:rsidR="005A3903" w:rsidRPr="0081325D" w14:paraId="5F6FECD6" w14:textId="77777777" w:rsidTr="00382B43">
        <w:trPr>
          <w:trHeight w:val="436"/>
        </w:trPr>
        <w:tc>
          <w:tcPr>
            <w:tcW w:w="2496" w:type="pct"/>
            <w:tcBorders>
              <w:top w:val="nil"/>
              <w:left w:val="nil"/>
              <w:bottom w:val="single" w:sz="8" w:space="0" w:color="auto"/>
              <w:right w:val="nil"/>
            </w:tcBorders>
            <w:shd w:val="clear" w:color="auto" w:fill="auto"/>
            <w:noWrap/>
            <w:vAlign w:val="center"/>
            <w:hideMark/>
          </w:tcPr>
          <w:p w14:paraId="1C1EC067" w14:textId="77777777" w:rsidR="005A3903" w:rsidRPr="0081325D" w:rsidRDefault="005A3903" w:rsidP="00382B43">
            <w:pPr>
              <w:rPr>
                <w:rFonts w:ascii="Calibri" w:hAnsi="Calibri" w:cs="Calibri"/>
                <w:color w:val="000000"/>
                <w:lang w:eastAsia="en-GB"/>
              </w:rPr>
            </w:pPr>
            <w:r w:rsidRPr="0081325D">
              <w:rPr>
                <w:rFonts w:ascii="Calibri" w:hAnsi="Calibri" w:cs="Calibri"/>
                <w:color w:val="000000"/>
                <w:lang w:eastAsia="en-GB"/>
              </w:rPr>
              <w:lastRenderedPageBreak/>
              <w:t>Dilutive earnings per share - pence</w:t>
            </w:r>
          </w:p>
        </w:tc>
        <w:tc>
          <w:tcPr>
            <w:tcW w:w="367" w:type="pct"/>
            <w:vMerge/>
            <w:tcBorders>
              <w:top w:val="nil"/>
              <w:left w:val="nil"/>
              <w:bottom w:val="single" w:sz="8" w:space="0" w:color="000000"/>
              <w:right w:val="nil"/>
            </w:tcBorders>
            <w:vAlign w:val="center"/>
            <w:hideMark/>
          </w:tcPr>
          <w:p w14:paraId="62C7ECC8" w14:textId="77777777" w:rsidR="005A3903" w:rsidRPr="0081325D" w:rsidRDefault="005A3903" w:rsidP="00382B43">
            <w:pPr>
              <w:rPr>
                <w:rFonts w:ascii="Calibri" w:hAnsi="Calibri" w:cs="Calibri"/>
                <w:color w:val="000000"/>
                <w:lang w:eastAsia="en-GB"/>
              </w:rPr>
            </w:pPr>
          </w:p>
        </w:tc>
        <w:tc>
          <w:tcPr>
            <w:tcW w:w="1102" w:type="pct"/>
            <w:tcBorders>
              <w:top w:val="nil"/>
              <w:left w:val="nil"/>
              <w:bottom w:val="single" w:sz="8" w:space="0" w:color="auto"/>
              <w:right w:val="nil"/>
            </w:tcBorders>
            <w:shd w:val="clear" w:color="000000" w:fill="FFFFFF"/>
            <w:noWrap/>
            <w:vAlign w:val="center"/>
            <w:hideMark/>
          </w:tcPr>
          <w:p w14:paraId="2AD3ABCB"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(0.34)</w:t>
            </w:r>
          </w:p>
        </w:tc>
        <w:tc>
          <w:tcPr>
            <w:tcW w:w="1035" w:type="pct"/>
            <w:tcBorders>
              <w:top w:val="nil"/>
              <w:left w:val="nil"/>
              <w:bottom w:val="single" w:sz="8" w:space="0" w:color="auto"/>
              <w:right w:val="nil"/>
            </w:tcBorders>
            <w:shd w:val="clear" w:color="000000" w:fill="FFFFFF"/>
            <w:noWrap/>
            <w:vAlign w:val="center"/>
            <w:hideMark/>
          </w:tcPr>
          <w:p w14:paraId="15725D3F" w14:textId="77777777" w:rsidR="005A3903" w:rsidRPr="0081325D" w:rsidRDefault="005A3903" w:rsidP="00382B43">
            <w:pPr>
              <w:jc w:val="right"/>
              <w:rPr>
                <w:rFonts w:ascii="Calibri" w:hAnsi="Calibri" w:cs="Calibri"/>
                <w:lang w:eastAsia="en-GB"/>
              </w:rPr>
            </w:pPr>
            <w:r w:rsidRPr="0081325D">
              <w:rPr>
                <w:rFonts w:ascii="Calibri" w:hAnsi="Calibri" w:cs="Calibri"/>
                <w:lang w:eastAsia="en-GB"/>
              </w:rPr>
              <w:t xml:space="preserve">(0.59) </w:t>
            </w:r>
          </w:p>
        </w:tc>
      </w:tr>
    </w:tbl>
    <w:p w14:paraId="32C010B2" w14:textId="77777777" w:rsidR="000B0647" w:rsidRDefault="000B0647" w:rsidP="00BC5427">
      <w:pPr>
        <w:pStyle w:val="Heading1"/>
        <w:spacing w:before="80"/>
        <w:ind w:left="0" w:right="4171"/>
        <w:rPr>
          <w:lang w:val="en-GB"/>
        </w:rPr>
      </w:pPr>
    </w:p>
    <w:p w14:paraId="1F2E7432" w14:textId="77777777" w:rsidR="000B0647" w:rsidRDefault="000B0647" w:rsidP="00BC5427">
      <w:pPr>
        <w:pStyle w:val="Heading1"/>
        <w:spacing w:before="80"/>
        <w:ind w:left="0" w:right="4171"/>
        <w:rPr>
          <w:lang w:val="en-GB"/>
        </w:rPr>
      </w:pPr>
    </w:p>
    <w:p w14:paraId="058F2914" w14:textId="6B3377B7" w:rsidR="000B0647" w:rsidRDefault="00D4644B" w:rsidP="00BC5427">
      <w:pPr>
        <w:pStyle w:val="Heading1"/>
        <w:spacing w:before="80"/>
        <w:ind w:left="0" w:right="4171"/>
        <w:rPr>
          <w:lang w:val="en-GB"/>
        </w:rPr>
      </w:pPr>
      <w:r w:rsidRPr="0081325D">
        <w:t>FINANCIAL STATEMENTS</w:t>
      </w:r>
    </w:p>
    <w:tbl>
      <w:tblPr>
        <w:tblW w:w="4992" w:type="pct"/>
        <w:tblLook w:val="04A0" w:firstRow="1" w:lastRow="0" w:firstColumn="1" w:lastColumn="0" w:noHBand="0" w:noVBand="1"/>
      </w:tblPr>
      <w:tblGrid>
        <w:gridCol w:w="4103"/>
        <w:gridCol w:w="649"/>
        <w:gridCol w:w="2470"/>
        <w:gridCol w:w="2133"/>
      </w:tblGrid>
      <w:tr w:rsidR="00C937B8" w:rsidRPr="0081325D" w14:paraId="17016E35" w14:textId="77777777" w:rsidTr="00382B43">
        <w:trPr>
          <w:trHeight w:val="320"/>
        </w:trPr>
        <w:tc>
          <w:tcPr>
            <w:tcW w:w="2193" w:type="pct"/>
            <w:tcBorders>
              <w:top w:val="nil"/>
              <w:left w:val="nil"/>
              <w:bottom w:val="nil"/>
              <w:right w:val="nil"/>
            </w:tcBorders>
            <w:shd w:val="clear" w:color="auto" w:fill="auto"/>
            <w:noWrap/>
            <w:vAlign w:val="center"/>
            <w:hideMark/>
          </w:tcPr>
          <w:p w14:paraId="1C0D4594" w14:textId="77777777" w:rsidR="00C937B8" w:rsidRPr="0081325D" w:rsidRDefault="00C937B8" w:rsidP="00382B43">
            <w:pPr>
              <w:rPr>
                <w:sz w:val="24"/>
                <w:szCs w:val="24"/>
                <w:lang w:eastAsia="en-GB"/>
              </w:rPr>
            </w:pPr>
          </w:p>
        </w:tc>
        <w:tc>
          <w:tcPr>
            <w:tcW w:w="347" w:type="pct"/>
            <w:tcBorders>
              <w:top w:val="nil"/>
              <w:left w:val="nil"/>
              <w:bottom w:val="nil"/>
              <w:right w:val="nil"/>
            </w:tcBorders>
            <w:shd w:val="clear" w:color="auto" w:fill="auto"/>
            <w:noWrap/>
            <w:vAlign w:val="center"/>
            <w:hideMark/>
          </w:tcPr>
          <w:p w14:paraId="44331289" w14:textId="77777777" w:rsidR="00C937B8" w:rsidRPr="0081325D" w:rsidRDefault="00C937B8" w:rsidP="00382B43">
            <w:pPr>
              <w:rPr>
                <w:sz w:val="20"/>
                <w:szCs w:val="20"/>
                <w:lang w:eastAsia="en-GB"/>
              </w:rPr>
            </w:pPr>
          </w:p>
        </w:tc>
        <w:tc>
          <w:tcPr>
            <w:tcW w:w="1320" w:type="pct"/>
            <w:tcBorders>
              <w:top w:val="nil"/>
              <w:left w:val="nil"/>
              <w:bottom w:val="nil"/>
              <w:right w:val="nil"/>
            </w:tcBorders>
            <w:shd w:val="clear" w:color="auto" w:fill="auto"/>
            <w:noWrap/>
            <w:vAlign w:val="center"/>
            <w:hideMark/>
          </w:tcPr>
          <w:p w14:paraId="765AEE74" w14:textId="77777777" w:rsidR="00C937B8" w:rsidRPr="0081325D" w:rsidRDefault="00C937B8" w:rsidP="00382B43">
            <w:pPr>
              <w:jc w:val="right"/>
              <w:rPr>
                <w:rFonts w:ascii="Calibri" w:hAnsi="Calibri" w:cs="Calibri"/>
                <w:b/>
                <w:bCs/>
                <w:i/>
                <w:iCs/>
                <w:color w:val="000000"/>
                <w:lang w:eastAsia="en-GB"/>
              </w:rPr>
            </w:pPr>
            <w:r w:rsidRPr="0081325D">
              <w:rPr>
                <w:rFonts w:ascii="Calibri" w:hAnsi="Calibri" w:cs="Calibri"/>
                <w:b/>
                <w:bCs/>
                <w:i/>
                <w:iCs/>
                <w:color w:val="000000"/>
                <w:lang w:eastAsia="en-GB"/>
              </w:rPr>
              <w:t>Audited</w:t>
            </w:r>
          </w:p>
        </w:tc>
        <w:tc>
          <w:tcPr>
            <w:tcW w:w="1140" w:type="pct"/>
            <w:tcBorders>
              <w:top w:val="nil"/>
              <w:left w:val="nil"/>
              <w:bottom w:val="nil"/>
              <w:right w:val="nil"/>
            </w:tcBorders>
            <w:shd w:val="clear" w:color="auto" w:fill="auto"/>
            <w:noWrap/>
            <w:vAlign w:val="center"/>
            <w:hideMark/>
          </w:tcPr>
          <w:p w14:paraId="197ACC6F" w14:textId="77777777" w:rsidR="00C937B8" w:rsidRPr="0081325D" w:rsidRDefault="00C937B8" w:rsidP="00382B43">
            <w:pPr>
              <w:jc w:val="right"/>
              <w:rPr>
                <w:rFonts w:ascii="Calibri" w:hAnsi="Calibri" w:cs="Calibri"/>
                <w:b/>
                <w:bCs/>
                <w:i/>
                <w:iCs/>
                <w:color w:val="000000"/>
                <w:lang w:eastAsia="en-GB"/>
              </w:rPr>
            </w:pPr>
            <w:r w:rsidRPr="0081325D">
              <w:rPr>
                <w:rFonts w:ascii="Calibri" w:hAnsi="Calibri" w:cs="Calibri"/>
                <w:b/>
                <w:bCs/>
                <w:i/>
                <w:iCs/>
                <w:color w:val="000000"/>
                <w:lang w:eastAsia="en-GB"/>
              </w:rPr>
              <w:t>Restated</w:t>
            </w:r>
          </w:p>
        </w:tc>
      </w:tr>
      <w:tr w:rsidR="00C937B8" w:rsidRPr="0081325D" w14:paraId="0C6E5049" w14:textId="77777777" w:rsidTr="00382B43">
        <w:trPr>
          <w:trHeight w:val="640"/>
        </w:trPr>
        <w:tc>
          <w:tcPr>
            <w:tcW w:w="2193" w:type="pct"/>
            <w:tcBorders>
              <w:top w:val="nil"/>
              <w:left w:val="nil"/>
              <w:bottom w:val="nil"/>
              <w:right w:val="nil"/>
            </w:tcBorders>
            <w:shd w:val="clear" w:color="auto" w:fill="auto"/>
            <w:noWrap/>
            <w:vAlign w:val="center"/>
            <w:hideMark/>
          </w:tcPr>
          <w:p w14:paraId="2CED9D5B" w14:textId="77777777" w:rsidR="00C937B8" w:rsidRPr="0081325D" w:rsidRDefault="00C937B8" w:rsidP="00382B43">
            <w:pPr>
              <w:jc w:val="right"/>
              <w:rPr>
                <w:rFonts w:ascii="Calibri" w:hAnsi="Calibri" w:cs="Calibri"/>
                <w:b/>
                <w:bCs/>
                <w:i/>
                <w:iCs/>
                <w:color w:val="000000"/>
                <w:lang w:eastAsia="en-GB"/>
              </w:rPr>
            </w:pPr>
          </w:p>
        </w:tc>
        <w:tc>
          <w:tcPr>
            <w:tcW w:w="347" w:type="pct"/>
            <w:tcBorders>
              <w:top w:val="nil"/>
              <w:left w:val="nil"/>
              <w:bottom w:val="nil"/>
              <w:right w:val="nil"/>
            </w:tcBorders>
            <w:shd w:val="clear" w:color="auto" w:fill="auto"/>
            <w:noWrap/>
            <w:vAlign w:val="center"/>
            <w:hideMark/>
          </w:tcPr>
          <w:p w14:paraId="32BA6515" w14:textId="77777777" w:rsidR="00C937B8" w:rsidRPr="0081325D" w:rsidRDefault="00C937B8" w:rsidP="00382B43">
            <w:pPr>
              <w:rPr>
                <w:sz w:val="20"/>
                <w:szCs w:val="20"/>
                <w:lang w:eastAsia="en-GB"/>
              </w:rPr>
            </w:pPr>
          </w:p>
        </w:tc>
        <w:tc>
          <w:tcPr>
            <w:tcW w:w="1320" w:type="pct"/>
            <w:tcBorders>
              <w:top w:val="nil"/>
              <w:left w:val="nil"/>
              <w:bottom w:val="nil"/>
              <w:right w:val="nil"/>
            </w:tcBorders>
            <w:shd w:val="clear" w:color="auto" w:fill="auto"/>
            <w:vAlign w:val="center"/>
            <w:hideMark/>
          </w:tcPr>
          <w:p w14:paraId="33C492DF" w14:textId="77777777" w:rsidR="00C937B8" w:rsidRPr="0081325D" w:rsidRDefault="00C937B8" w:rsidP="00382B43">
            <w:pPr>
              <w:jc w:val="right"/>
              <w:rPr>
                <w:rFonts w:ascii="Calibri" w:hAnsi="Calibri" w:cs="Calibri"/>
                <w:b/>
                <w:bCs/>
                <w:color w:val="000000"/>
                <w:lang w:eastAsia="en-GB"/>
              </w:rPr>
            </w:pPr>
            <w:r w:rsidRPr="0081325D">
              <w:rPr>
                <w:rFonts w:ascii="Calibri" w:hAnsi="Calibri" w:cs="Calibri"/>
                <w:b/>
                <w:bCs/>
                <w:color w:val="000000"/>
                <w:lang w:eastAsia="en-GB"/>
              </w:rPr>
              <w:t xml:space="preserve">As at </w:t>
            </w:r>
            <w:r w:rsidRPr="0081325D">
              <w:rPr>
                <w:rFonts w:ascii="Calibri" w:hAnsi="Calibri" w:cs="Calibri"/>
                <w:b/>
                <w:bCs/>
                <w:color w:val="000000"/>
                <w:lang w:eastAsia="en-GB"/>
              </w:rPr>
              <w:br/>
              <w:t>30 November 2022</w:t>
            </w:r>
          </w:p>
        </w:tc>
        <w:tc>
          <w:tcPr>
            <w:tcW w:w="1140" w:type="pct"/>
            <w:tcBorders>
              <w:top w:val="nil"/>
              <w:left w:val="nil"/>
              <w:bottom w:val="nil"/>
              <w:right w:val="nil"/>
            </w:tcBorders>
            <w:shd w:val="clear" w:color="auto" w:fill="auto"/>
            <w:vAlign w:val="center"/>
            <w:hideMark/>
          </w:tcPr>
          <w:p w14:paraId="1743505A" w14:textId="77777777" w:rsidR="00C937B8" w:rsidRPr="0081325D" w:rsidRDefault="00C937B8" w:rsidP="00382B43">
            <w:pPr>
              <w:jc w:val="right"/>
              <w:rPr>
                <w:rFonts w:ascii="Calibri" w:hAnsi="Calibri" w:cs="Calibri"/>
                <w:b/>
                <w:bCs/>
                <w:color w:val="000000"/>
                <w:lang w:eastAsia="en-GB"/>
              </w:rPr>
            </w:pPr>
            <w:r w:rsidRPr="0081325D">
              <w:rPr>
                <w:rFonts w:ascii="Calibri" w:hAnsi="Calibri" w:cs="Calibri"/>
                <w:b/>
                <w:bCs/>
                <w:color w:val="000000"/>
                <w:lang w:eastAsia="en-GB"/>
              </w:rPr>
              <w:t xml:space="preserve">As at </w:t>
            </w:r>
            <w:r w:rsidRPr="0081325D">
              <w:rPr>
                <w:rFonts w:ascii="Calibri" w:hAnsi="Calibri" w:cs="Calibri"/>
                <w:b/>
                <w:bCs/>
                <w:color w:val="000000"/>
                <w:lang w:eastAsia="en-GB"/>
              </w:rPr>
              <w:br/>
              <w:t>30 November 2021</w:t>
            </w:r>
          </w:p>
        </w:tc>
      </w:tr>
      <w:tr w:rsidR="00C937B8" w:rsidRPr="0081325D" w14:paraId="6E57DEC5" w14:textId="77777777" w:rsidTr="00382B43">
        <w:trPr>
          <w:trHeight w:val="320"/>
        </w:trPr>
        <w:tc>
          <w:tcPr>
            <w:tcW w:w="2193" w:type="pct"/>
            <w:tcBorders>
              <w:top w:val="nil"/>
              <w:left w:val="nil"/>
              <w:bottom w:val="nil"/>
              <w:right w:val="nil"/>
            </w:tcBorders>
            <w:shd w:val="clear" w:color="auto" w:fill="auto"/>
            <w:noWrap/>
            <w:vAlign w:val="center"/>
            <w:hideMark/>
          </w:tcPr>
          <w:p w14:paraId="7F0AADD9" w14:textId="77777777" w:rsidR="00C937B8" w:rsidRPr="0081325D" w:rsidRDefault="00C937B8" w:rsidP="00382B43">
            <w:pPr>
              <w:jc w:val="right"/>
              <w:rPr>
                <w:rFonts w:ascii="Calibri" w:hAnsi="Calibri" w:cs="Calibri"/>
                <w:b/>
                <w:bCs/>
                <w:color w:val="000000"/>
                <w:lang w:eastAsia="en-GB"/>
              </w:rPr>
            </w:pPr>
          </w:p>
        </w:tc>
        <w:tc>
          <w:tcPr>
            <w:tcW w:w="347" w:type="pct"/>
            <w:tcBorders>
              <w:top w:val="nil"/>
              <w:left w:val="nil"/>
              <w:bottom w:val="nil"/>
              <w:right w:val="nil"/>
            </w:tcBorders>
            <w:shd w:val="clear" w:color="auto" w:fill="auto"/>
            <w:noWrap/>
            <w:vAlign w:val="center"/>
            <w:hideMark/>
          </w:tcPr>
          <w:p w14:paraId="57BC59EA" w14:textId="282B4381" w:rsidR="00C937B8" w:rsidRPr="0081325D" w:rsidRDefault="00C937B8" w:rsidP="00382B43">
            <w:pPr>
              <w:jc w:val="center"/>
              <w:rPr>
                <w:rFonts w:ascii="Calibri" w:hAnsi="Calibri" w:cs="Calibri"/>
                <w:b/>
                <w:bCs/>
                <w:color w:val="000000"/>
                <w:lang w:eastAsia="en-GB"/>
              </w:rPr>
            </w:pPr>
          </w:p>
        </w:tc>
        <w:tc>
          <w:tcPr>
            <w:tcW w:w="1320" w:type="pct"/>
            <w:tcBorders>
              <w:top w:val="nil"/>
              <w:left w:val="nil"/>
              <w:bottom w:val="nil"/>
              <w:right w:val="nil"/>
            </w:tcBorders>
            <w:shd w:val="clear" w:color="auto" w:fill="auto"/>
            <w:noWrap/>
            <w:vAlign w:val="center"/>
            <w:hideMark/>
          </w:tcPr>
          <w:p w14:paraId="6FD2380D" w14:textId="77777777" w:rsidR="00C937B8" w:rsidRPr="0081325D" w:rsidRDefault="00C937B8" w:rsidP="00382B43">
            <w:pPr>
              <w:jc w:val="right"/>
              <w:rPr>
                <w:rFonts w:ascii="Calibri" w:hAnsi="Calibri" w:cs="Calibri"/>
                <w:b/>
                <w:bCs/>
                <w:color w:val="000000"/>
                <w:lang w:eastAsia="en-GB"/>
              </w:rPr>
            </w:pPr>
            <w:r w:rsidRPr="0081325D">
              <w:rPr>
                <w:rFonts w:ascii="Calibri" w:hAnsi="Calibri" w:cs="Calibri"/>
                <w:b/>
                <w:bCs/>
                <w:color w:val="000000"/>
                <w:lang w:eastAsia="en-GB"/>
              </w:rPr>
              <w:t>£'000</w:t>
            </w:r>
          </w:p>
        </w:tc>
        <w:tc>
          <w:tcPr>
            <w:tcW w:w="1140" w:type="pct"/>
            <w:tcBorders>
              <w:top w:val="nil"/>
              <w:left w:val="nil"/>
              <w:bottom w:val="nil"/>
              <w:right w:val="nil"/>
            </w:tcBorders>
            <w:shd w:val="clear" w:color="auto" w:fill="auto"/>
            <w:noWrap/>
            <w:vAlign w:val="center"/>
            <w:hideMark/>
          </w:tcPr>
          <w:p w14:paraId="6EBD46F4" w14:textId="77777777" w:rsidR="00C937B8" w:rsidRPr="0081325D" w:rsidRDefault="00C937B8" w:rsidP="00382B43">
            <w:pPr>
              <w:jc w:val="right"/>
              <w:rPr>
                <w:rFonts w:ascii="Calibri" w:hAnsi="Calibri" w:cs="Calibri"/>
                <w:b/>
                <w:bCs/>
                <w:color w:val="000000"/>
                <w:lang w:eastAsia="en-GB"/>
              </w:rPr>
            </w:pPr>
            <w:r w:rsidRPr="0081325D">
              <w:rPr>
                <w:rFonts w:ascii="Calibri" w:hAnsi="Calibri" w:cs="Calibri"/>
                <w:b/>
                <w:bCs/>
                <w:color w:val="000000"/>
                <w:lang w:eastAsia="en-GB"/>
              </w:rPr>
              <w:t>£'000</w:t>
            </w:r>
          </w:p>
        </w:tc>
      </w:tr>
      <w:tr w:rsidR="00C937B8" w:rsidRPr="0081325D" w14:paraId="31C48E55" w14:textId="77777777" w:rsidTr="00382B43">
        <w:trPr>
          <w:trHeight w:val="384"/>
        </w:trPr>
        <w:tc>
          <w:tcPr>
            <w:tcW w:w="2193" w:type="pct"/>
            <w:tcBorders>
              <w:top w:val="single" w:sz="4" w:space="0" w:color="auto"/>
              <w:left w:val="nil"/>
              <w:bottom w:val="nil"/>
              <w:right w:val="nil"/>
            </w:tcBorders>
            <w:shd w:val="clear" w:color="auto" w:fill="auto"/>
            <w:noWrap/>
            <w:vAlign w:val="center"/>
            <w:hideMark/>
          </w:tcPr>
          <w:p w14:paraId="3C0A2D91" w14:textId="77777777" w:rsidR="00C937B8" w:rsidRPr="0081325D" w:rsidRDefault="00C937B8" w:rsidP="00382B43">
            <w:pPr>
              <w:rPr>
                <w:rFonts w:ascii="Calibri" w:hAnsi="Calibri" w:cs="Calibri"/>
                <w:b/>
                <w:bCs/>
                <w:color w:val="000000"/>
                <w:lang w:eastAsia="en-GB"/>
              </w:rPr>
            </w:pPr>
            <w:r w:rsidRPr="0081325D">
              <w:rPr>
                <w:rFonts w:ascii="Calibri" w:hAnsi="Calibri" w:cs="Calibri"/>
                <w:b/>
                <w:bCs/>
                <w:color w:val="000000"/>
                <w:lang w:eastAsia="en-GB"/>
              </w:rPr>
              <w:t>NON-CURRENT ASSETS</w:t>
            </w:r>
          </w:p>
        </w:tc>
        <w:tc>
          <w:tcPr>
            <w:tcW w:w="347" w:type="pct"/>
            <w:tcBorders>
              <w:top w:val="single" w:sz="4" w:space="0" w:color="auto"/>
              <w:left w:val="nil"/>
              <w:bottom w:val="nil"/>
              <w:right w:val="nil"/>
            </w:tcBorders>
            <w:shd w:val="clear" w:color="auto" w:fill="auto"/>
            <w:noWrap/>
            <w:vAlign w:val="center"/>
            <w:hideMark/>
          </w:tcPr>
          <w:p w14:paraId="6D82F335" w14:textId="77777777" w:rsidR="00C937B8" w:rsidRPr="0081325D" w:rsidRDefault="00C937B8" w:rsidP="00382B43">
            <w:pPr>
              <w:jc w:val="center"/>
              <w:rPr>
                <w:rFonts w:ascii="Calibri (body)" w:hAnsi="Calibri (body)" w:cs="Calibri"/>
                <w:color w:val="000000"/>
                <w:sz w:val="20"/>
                <w:szCs w:val="20"/>
                <w:lang w:eastAsia="en-GB"/>
              </w:rPr>
            </w:pPr>
            <w:r w:rsidRPr="0081325D">
              <w:rPr>
                <w:rFonts w:ascii="Calibri (body)" w:hAnsi="Calibri (body)" w:cs="Calibri"/>
                <w:color w:val="000000"/>
                <w:sz w:val="20"/>
                <w:szCs w:val="20"/>
                <w:lang w:eastAsia="en-GB"/>
              </w:rPr>
              <w:t> </w:t>
            </w:r>
          </w:p>
        </w:tc>
        <w:tc>
          <w:tcPr>
            <w:tcW w:w="1320" w:type="pct"/>
            <w:tcBorders>
              <w:top w:val="single" w:sz="4" w:space="0" w:color="auto"/>
              <w:left w:val="nil"/>
              <w:bottom w:val="nil"/>
              <w:right w:val="nil"/>
            </w:tcBorders>
            <w:shd w:val="clear" w:color="000000" w:fill="FFFFFF"/>
            <w:noWrap/>
            <w:vAlign w:val="center"/>
            <w:hideMark/>
          </w:tcPr>
          <w:p w14:paraId="53B928CC"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 </w:t>
            </w:r>
          </w:p>
        </w:tc>
        <w:tc>
          <w:tcPr>
            <w:tcW w:w="1140" w:type="pct"/>
            <w:tcBorders>
              <w:top w:val="single" w:sz="4" w:space="0" w:color="auto"/>
              <w:left w:val="nil"/>
              <w:bottom w:val="nil"/>
              <w:right w:val="nil"/>
            </w:tcBorders>
            <w:shd w:val="clear" w:color="000000" w:fill="FFFFFF"/>
            <w:noWrap/>
            <w:vAlign w:val="center"/>
            <w:hideMark/>
          </w:tcPr>
          <w:p w14:paraId="015EED5C"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 </w:t>
            </w:r>
          </w:p>
        </w:tc>
      </w:tr>
      <w:tr w:rsidR="00C937B8" w:rsidRPr="0081325D" w14:paraId="098A1FA4" w14:textId="77777777" w:rsidTr="00382B43">
        <w:trPr>
          <w:trHeight w:val="384"/>
        </w:trPr>
        <w:tc>
          <w:tcPr>
            <w:tcW w:w="2193" w:type="pct"/>
            <w:tcBorders>
              <w:top w:val="nil"/>
              <w:left w:val="nil"/>
              <w:bottom w:val="nil"/>
              <w:right w:val="nil"/>
            </w:tcBorders>
            <w:shd w:val="clear" w:color="auto" w:fill="auto"/>
            <w:noWrap/>
            <w:vAlign w:val="center"/>
            <w:hideMark/>
          </w:tcPr>
          <w:p w14:paraId="5C95174A" w14:textId="77777777" w:rsidR="00C937B8" w:rsidRPr="0081325D" w:rsidRDefault="00C937B8" w:rsidP="00382B43">
            <w:pPr>
              <w:rPr>
                <w:rFonts w:ascii="Calibri" w:hAnsi="Calibri" w:cs="Calibri"/>
                <w:color w:val="000000"/>
                <w:lang w:eastAsia="en-GB"/>
              </w:rPr>
            </w:pPr>
            <w:r w:rsidRPr="0081325D">
              <w:rPr>
                <w:rFonts w:ascii="Calibri" w:hAnsi="Calibri" w:cs="Calibri"/>
                <w:color w:val="000000"/>
                <w:lang w:eastAsia="en-GB"/>
              </w:rPr>
              <w:t>Investments</w:t>
            </w:r>
          </w:p>
        </w:tc>
        <w:tc>
          <w:tcPr>
            <w:tcW w:w="347" w:type="pct"/>
            <w:tcBorders>
              <w:top w:val="nil"/>
              <w:left w:val="nil"/>
              <w:bottom w:val="nil"/>
              <w:right w:val="nil"/>
            </w:tcBorders>
            <w:shd w:val="clear" w:color="auto" w:fill="auto"/>
            <w:noWrap/>
            <w:vAlign w:val="center"/>
            <w:hideMark/>
          </w:tcPr>
          <w:p w14:paraId="5EAB5101" w14:textId="3BF4C5D1" w:rsidR="00C937B8" w:rsidRPr="0081325D" w:rsidRDefault="00C937B8" w:rsidP="00382B43">
            <w:pPr>
              <w:jc w:val="center"/>
              <w:rPr>
                <w:rFonts w:ascii="Calibri (body)" w:hAnsi="Calibri (body)" w:cs="Calibri"/>
                <w:color w:val="000000"/>
                <w:lang w:eastAsia="en-GB"/>
              </w:rPr>
            </w:pPr>
          </w:p>
        </w:tc>
        <w:tc>
          <w:tcPr>
            <w:tcW w:w="1320" w:type="pct"/>
            <w:tcBorders>
              <w:top w:val="nil"/>
              <w:left w:val="nil"/>
              <w:bottom w:val="nil"/>
              <w:right w:val="nil"/>
            </w:tcBorders>
            <w:shd w:val="clear" w:color="000000" w:fill="FFFFFF"/>
            <w:noWrap/>
            <w:vAlign w:val="center"/>
            <w:hideMark/>
          </w:tcPr>
          <w:p w14:paraId="6D4F70B9"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946</w:t>
            </w:r>
          </w:p>
        </w:tc>
        <w:tc>
          <w:tcPr>
            <w:tcW w:w="1140" w:type="pct"/>
            <w:tcBorders>
              <w:top w:val="nil"/>
              <w:left w:val="nil"/>
              <w:bottom w:val="nil"/>
              <w:right w:val="nil"/>
            </w:tcBorders>
            <w:shd w:val="clear" w:color="000000" w:fill="FFFFFF"/>
            <w:noWrap/>
            <w:vAlign w:val="center"/>
            <w:hideMark/>
          </w:tcPr>
          <w:p w14:paraId="1BA44F7D"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528</w:t>
            </w:r>
          </w:p>
        </w:tc>
      </w:tr>
      <w:tr w:rsidR="00C937B8" w:rsidRPr="0081325D" w14:paraId="526E30F7" w14:textId="77777777" w:rsidTr="00382B43">
        <w:trPr>
          <w:trHeight w:val="384"/>
        </w:trPr>
        <w:tc>
          <w:tcPr>
            <w:tcW w:w="2193" w:type="pct"/>
            <w:tcBorders>
              <w:top w:val="single" w:sz="4" w:space="0" w:color="auto"/>
              <w:left w:val="nil"/>
              <w:bottom w:val="single" w:sz="4" w:space="0" w:color="auto"/>
              <w:right w:val="nil"/>
            </w:tcBorders>
            <w:shd w:val="clear" w:color="auto" w:fill="auto"/>
            <w:noWrap/>
            <w:vAlign w:val="center"/>
            <w:hideMark/>
          </w:tcPr>
          <w:p w14:paraId="12EC9705" w14:textId="77777777" w:rsidR="00C937B8" w:rsidRPr="0081325D" w:rsidRDefault="00C937B8" w:rsidP="00382B43">
            <w:pPr>
              <w:rPr>
                <w:rFonts w:ascii="Calibri" w:hAnsi="Calibri" w:cs="Calibri"/>
                <w:b/>
                <w:bCs/>
                <w:color w:val="000000"/>
                <w:lang w:eastAsia="en-GB"/>
              </w:rPr>
            </w:pPr>
            <w:r w:rsidRPr="0081325D">
              <w:rPr>
                <w:rFonts w:ascii="Calibri" w:hAnsi="Calibri" w:cs="Calibri"/>
                <w:b/>
                <w:bCs/>
                <w:color w:val="000000"/>
                <w:lang w:eastAsia="en-GB"/>
              </w:rPr>
              <w:t>TOTAL NON-CURRENT ASSETS</w:t>
            </w:r>
          </w:p>
        </w:tc>
        <w:tc>
          <w:tcPr>
            <w:tcW w:w="347" w:type="pct"/>
            <w:tcBorders>
              <w:top w:val="single" w:sz="4" w:space="0" w:color="auto"/>
              <w:left w:val="nil"/>
              <w:bottom w:val="single" w:sz="4" w:space="0" w:color="auto"/>
              <w:right w:val="nil"/>
            </w:tcBorders>
            <w:shd w:val="clear" w:color="auto" w:fill="auto"/>
            <w:noWrap/>
            <w:vAlign w:val="center"/>
            <w:hideMark/>
          </w:tcPr>
          <w:p w14:paraId="196A5663" w14:textId="77777777" w:rsidR="00C937B8" w:rsidRPr="0081325D" w:rsidRDefault="00C937B8" w:rsidP="00382B43">
            <w:pPr>
              <w:jc w:val="center"/>
              <w:rPr>
                <w:rFonts w:ascii="Calibri (body)" w:hAnsi="Calibri (body)" w:cs="Calibri"/>
                <w:color w:val="000000"/>
                <w:lang w:eastAsia="en-GB"/>
              </w:rPr>
            </w:pPr>
            <w:r w:rsidRPr="0081325D">
              <w:rPr>
                <w:rFonts w:ascii="Calibri (body)" w:hAnsi="Calibri (body)" w:cs="Calibri"/>
                <w:color w:val="000000"/>
                <w:lang w:eastAsia="en-GB"/>
              </w:rPr>
              <w:t> </w:t>
            </w:r>
          </w:p>
        </w:tc>
        <w:tc>
          <w:tcPr>
            <w:tcW w:w="1320" w:type="pct"/>
            <w:tcBorders>
              <w:top w:val="single" w:sz="4" w:space="0" w:color="auto"/>
              <w:left w:val="nil"/>
              <w:bottom w:val="single" w:sz="4" w:space="0" w:color="auto"/>
              <w:right w:val="nil"/>
            </w:tcBorders>
            <w:shd w:val="clear" w:color="000000" w:fill="FFFFFF"/>
            <w:noWrap/>
            <w:vAlign w:val="center"/>
            <w:hideMark/>
          </w:tcPr>
          <w:p w14:paraId="1F80D6F4"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946</w:t>
            </w:r>
          </w:p>
        </w:tc>
        <w:tc>
          <w:tcPr>
            <w:tcW w:w="1140" w:type="pct"/>
            <w:tcBorders>
              <w:top w:val="single" w:sz="4" w:space="0" w:color="auto"/>
              <w:left w:val="nil"/>
              <w:bottom w:val="single" w:sz="4" w:space="0" w:color="auto"/>
              <w:right w:val="nil"/>
            </w:tcBorders>
            <w:shd w:val="clear" w:color="000000" w:fill="FFFFFF"/>
            <w:noWrap/>
            <w:vAlign w:val="center"/>
            <w:hideMark/>
          </w:tcPr>
          <w:p w14:paraId="2CC310F4"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528</w:t>
            </w:r>
          </w:p>
        </w:tc>
      </w:tr>
      <w:tr w:rsidR="00C937B8" w:rsidRPr="0081325D" w14:paraId="30393BC2" w14:textId="77777777" w:rsidTr="00382B43">
        <w:trPr>
          <w:trHeight w:val="400"/>
        </w:trPr>
        <w:tc>
          <w:tcPr>
            <w:tcW w:w="2193" w:type="pct"/>
            <w:tcBorders>
              <w:top w:val="nil"/>
              <w:left w:val="nil"/>
              <w:bottom w:val="nil"/>
              <w:right w:val="nil"/>
            </w:tcBorders>
            <w:shd w:val="clear" w:color="auto" w:fill="auto"/>
            <w:noWrap/>
            <w:vAlign w:val="center"/>
            <w:hideMark/>
          </w:tcPr>
          <w:p w14:paraId="685942C7" w14:textId="77777777" w:rsidR="00C937B8" w:rsidRPr="0081325D" w:rsidRDefault="00C937B8" w:rsidP="00382B43">
            <w:pPr>
              <w:rPr>
                <w:rFonts w:ascii="Calibri" w:hAnsi="Calibri" w:cs="Calibri"/>
                <w:b/>
                <w:bCs/>
                <w:color w:val="000000"/>
                <w:lang w:eastAsia="en-GB"/>
              </w:rPr>
            </w:pPr>
            <w:r w:rsidRPr="0081325D">
              <w:rPr>
                <w:rFonts w:ascii="Calibri" w:hAnsi="Calibri" w:cs="Calibri"/>
                <w:b/>
                <w:bCs/>
                <w:color w:val="000000"/>
                <w:lang w:eastAsia="en-GB"/>
              </w:rPr>
              <w:t> </w:t>
            </w:r>
          </w:p>
        </w:tc>
        <w:tc>
          <w:tcPr>
            <w:tcW w:w="347" w:type="pct"/>
            <w:tcBorders>
              <w:top w:val="nil"/>
              <w:left w:val="nil"/>
              <w:bottom w:val="nil"/>
              <w:right w:val="nil"/>
            </w:tcBorders>
            <w:shd w:val="clear" w:color="auto" w:fill="auto"/>
            <w:noWrap/>
            <w:vAlign w:val="center"/>
            <w:hideMark/>
          </w:tcPr>
          <w:p w14:paraId="4363BE55" w14:textId="77777777" w:rsidR="00C937B8" w:rsidRPr="0081325D" w:rsidRDefault="00C937B8" w:rsidP="00382B43">
            <w:pPr>
              <w:jc w:val="center"/>
              <w:rPr>
                <w:rFonts w:ascii="Calibri (body)" w:hAnsi="Calibri (body)" w:cs="Calibri"/>
                <w:color w:val="000000"/>
                <w:lang w:eastAsia="en-GB"/>
              </w:rPr>
            </w:pPr>
            <w:r w:rsidRPr="0081325D">
              <w:rPr>
                <w:rFonts w:ascii="Calibri (body)" w:hAnsi="Calibri (body)" w:cs="Calibri"/>
                <w:color w:val="000000"/>
                <w:lang w:eastAsia="en-GB"/>
              </w:rPr>
              <w:t> </w:t>
            </w:r>
          </w:p>
        </w:tc>
        <w:tc>
          <w:tcPr>
            <w:tcW w:w="1320" w:type="pct"/>
            <w:tcBorders>
              <w:top w:val="nil"/>
              <w:left w:val="nil"/>
              <w:bottom w:val="nil"/>
              <w:right w:val="nil"/>
            </w:tcBorders>
            <w:shd w:val="clear" w:color="000000" w:fill="FFFFFF"/>
            <w:noWrap/>
            <w:vAlign w:val="center"/>
            <w:hideMark/>
          </w:tcPr>
          <w:p w14:paraId="6489AE40"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 </w:t>
            </w:r>
          </w:p>
        </w:tc>
        <w:tc>
          <w:tcPr>
            <w:tcW w:w="1140" w:type="pct"/>
            <w:tcBorders>
              <w:top w:val="nil"/>
              <w:left w:val="nil"/>
              <w:bottom w:val="nil"/>
              <w:right w:val="nil"/>
            </w:tcBorders>
            <w:shd w:val="clear" w:color="000000" w:fill="FFFFFF"/>
            <w:noWrap/>
            <w:vAlign w:val="center"/>
            <w:hideMark/>
          </w:tcPr>
          <w:p w14:paraId="10EEB242"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 </w:t>
            </w:r>
          </w:p>
        </w:tc>
      </w:tr>
      <w:tr w:rsidR="00C937B8" w:rsidRPr="0081325D" w14:paraId="00EAE083" w14:textId="77777777" w:rsidTr="00382B43">
        <w:trPr>
          <w:trHeight w:val="384"/>
        </w:trPr>
        <w:tc>
          <w:tcPr>
            <w:tcW w:w="2193" w:type="pct"/>
            <w:tcBorders>
              <w:top w:val="single" w:sz="4" w:space="0" w:color="auto"/>
              <w:left w:val="nil"/>
              <w:bottom w:val="nil"/>
              <w:right w:val="nil"/>
            </w:tcBorders>
            <w:shd w:val="clear" w:color="auto" w:fill="auto"/>
            <w:noWrap/>
            <w:vAlign w:val="center"/>
            <w:hideMark/>
          </w:tcPr>
          <w:p w14:paraId="1EB65AA5" w14:textId="77777777" w:rsidR="00C937B8" w:rsidRPr="0081325D" w:rsidRDefault="00C937B8" w:rsidP="00382B43">
            <w:pPr>
              <w:rPr>
                <w:rFonts w:ascii="Calibri" w:hAnsi="Calibri" w:cs="Calibri"/>
                <w:b/>
                <w:bCs/>
                <w:color w:val="000000"/>
                <w:lang w:eastAsia="en-GB"/>
              </w:rPr>
            </w:pPr>
            <w:r w:rsidRPr="0081325D">
              <w:rPr>
                <w:rFonts w:ascii="Calibri" w:hAnsi="Calibri" w:cs="Calibri"/>
                <w:b/>
                <w:bCs/>
                <w:color w:val="000000"/>
                <w:lang w:eastAsia="en-GB"/>
              </w:rPr>
              <w:t>CURRENT ASSETS</w:t>
            </w:r>
          </w:p>
        </w:tc>
        <w:tc>
          <w:tcPr>
            <w:tcW w:w="347" w:type="pct"/>
            <w:tcBorders>
              <w:top w:val="single" w:sz="4" w:space="0" w:color="auto"/>
              <w:left w:val="nil"/>
              <w:bottom w:val="nil"/>
              <w:right w:val="nil"/>
            </w:tcBorders>
            <w:shd w:val="clear" w:color="auto" w:fill="auto"/>
            <w:noWrap/>
            <w:vAlign w:val="center"/>
            <w:hideMark/>
          </w:tcPr>
          <w:p w14:paraId="54C02543" w14:textId="77777777" w:rsidR="00C937B8" w:rsidRPr="0081325D" w:rsidRDefault="00C937B8" w:rsidP="00382B43">
            <w:pPr>
              <w:jc w:val="center"/>
              <w:rPr>
                <w:rFonts w:ascii="Calibri (body)" w:hAnsi="Calibri (body)" w:cs="Calibri"/>
                <w:color w:val="000000"/>
                <w:lang w:eastAsia="en-GB"/>
              </w:rPr>
            </w:pPr>
            <w:r w:rsidRPr="0081325D">
              <w:rPr>
                <w:rFonts w:ascii="Calibri (body)" w:hAnsi="Calibri (body)" w:cs="Calibri"/>
                <w:color w:val="000000"/>
                <w:lang w:eastAsia="en-GB"/>
              </w:rPr>
              <w:t> </w:t>
            </w:r>
          </w:p>
        </w:tc>
        <w:tc>
          <w:tcPr>
            <w:tcW w:w="1320" w:type="pct"/>
            <w:tcBorders>
              <w:top w:val="single" w:sz="4" w:space="0" w:color="auto"/>
              <w:left w:val="nil"/>
              <w:bottom w:val="nil"/>
              <w:right w:val="nil"/>
            </w:tcBorders>
            <w:shd w:val="clear" w:color="000000" w:fill="FFFFFF"/>
            <w:noWrap/>
            <w:vAlign w:val="center"/>
            <w:hideMark/>
          </w:tcPr>
          <w:p w14:paraId="6A625374"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 </w:t>
            </w:r>
          </w:p>
        </w:tc>
        <w:tc>
          <w:tcPr>
            <w:tcW w:w="1140" w:type="pct"/>
            <w:tcBorders>
              <w:top w:val="single" w:sz="4" w:space="0" w:color="auto"/>
              <w:left w:val="nil"/>
              <w:bottom w:val="nil"/>
              <w:right w:val="nil"/>
            </w:tcBorders>
            <w:shd w:val="clear" w:color="000000" w:fill="FFFFFF"/>
            <w:noWrap/>
            <w:vAlign w:val="center"/>
            <w:hideMark/>
          </w:tcPr>
          <w:p w14:paraId="59287A5B"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 </w:t>
            </w:r>
          </w:p>
        </w:tc>
      </w:tr>
      <w:tr w:rsidR="00C937B8" w:rsidRPr="0081325D" w14:paraId="0AF71C39" w14:textId="77777777" w:rsidTr="00382B43">
        <w:trPr>
          <w:trHeight w:val="384"/>
        </w:trPr>
        <w:tc>
          <w:tcPr>
            <w:tcW w:w="2193" w:type="pct"/>
            <w:tcBorders>
              <w:top w:val="nil"/>
              <w:left w:val="nil"/>
              <w:bottom w:val="nil"/>
              <w:right w:val="nil"/>
            </w:tcBorders>
            <w:shd w:val="clear" w:color="auto" w:fill="auto"/>
            <w:noWrap/>
            <w:vAlign w:val="center"/>
            <w:hideMark/>
          </w:tcPr>
          <w:p w14:paraId="4DB3A0D6" w14:textId="77777777" w:rsidR="00C937B8" w:rsidRPr="0081325D" w:rsidRDefault="00C937B8" w:rsidP="00382B43">
            <w:pPr>
              <w:rPr>
                <w:rFonts w:ascii="Calibri" w:hAnsi="Calibri" w:cs="Calibri"/>
                <w:color w:val="000000"/>
                <w:lang w:eastAsia="en-GB"/>
              </w:rPr>
            </w:pPr>
            <w:r w:rsidRPr="0081325D">
              <w:rPr>
                <w:rFonts w:ascii="Calibri" w:hAnsi="Calibri" w:cs="Calibri"/>
                <w:color w:val="000000"/>
                <w:lang w:eastAsia="en-GB"/>
              </w:rPr>
              <w:t>Cash and cash equivalents</w:t>
            </w:r>
          </w:p>
        </w:tc>
        <w:tc>
          <w:tcPr>
            <w:tcW w:w="347" w:type="pct"/>
            <w:tcBorders>
              <w:top w:val="nil"/>
              <w:left w:val="nil"/>
              <w:bottom w:val="nil"/>
              <w:right w:val="nil"/>
            </w:tcBorders>
            <w:shd w:val="clear" w:color="auto" w:fill="auto"/>
            <w:noWrap/>
            <w:vAlign w:val="center"/>
            <w:hideMark/>
          </w:tcPr>
          <w:p w14:paraId="7F2E01C3" w14:textId="45E0B384" w:rsidR="00C937B8" w:rsidRPr="0081325D" w:rsidRDefault="00C937B8" w:rsidP="00382B43">
            <w:pPr>
              <w:jc w:val="center"/>
              <w:rPr>
                <w:rFonts w:ascii="Calibri (body)" w:hAnsi="Calibri (body)" w:cs="Calibri"/>
                <w:color w:val="000000"/>
                <w:lang w:eastAsia="en-GB"/>
              </w:rPr>
            </w:pPr>
          </w:p>
        </w:tc>
        <w:tc>
          <w:tcPr>
            <w:tcW w:w="1320" w:type="pct"/>
            <w:tcBorders>
              <w:top w:val="nil"/>
              <w:left w:val="nil"/>
              <w:bottom w:val="nil"/>
              <w:right w:val="nil"/>
            </w:tcBorders>
            <w:shd w:val="clear" w:color="000000" w:fill="FFFFFF"/>
            <w:noWrap/>
            <w:vAlign w:val="center"/>
            <w:hideMark/>
          </w:tcPr>
          <w:p w14:paraId="2306A135"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435</w:t>
            </w:r>
          </w:p>
        </w:tc>
        <w:tc>
          <w:tcPr>
            <w:tcW w:w="1140" w:type="pct"/>
            <w:tcBorders>
              <w:top w:val="nil"/>
              <w:left w:val="nil"/>
              <w:bottom w:val="nil"/>
              <w:right w:val="nil"/>
            </w:tcBorders>
            <w:shd w:val="clear" w:color="000000" w:fill="FFFFFF"/>
            <w:noWrap/>
            <w:vAlign w:val="center"/>
            <w:hideMark/>
          </w:tcPr>
          <w:p w14:paraId="50634266"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1,524</w:t>
            </w:r>
          </w:p>
        </w:tc>
      </w:tr>
      <w:tr w:rsidR="00C937B8" w:rsidRPr="0081325D" w14:paraId="3A6786DA" w14:textId="77777777" w:rsidTr="00382B43">
        <w:trPr>
          <w:trHeight w:val="384"/>
        </w:trPr>
        <w:tc>
          <w:tcPr>
            <w:tcW w:w="2193" w:type="pct"/>
            <w:tcBorders>
              <w:top w:val="nil"/>
              <w:left w:val="nil"/>
              <w:bottom w:val="nil"/>
              <w:right w:val="nil"/>
            </w:tcBorders>
            <w:shd w:val="clear" w:color="auto" w:fill="auto"/>
            <w:noWrap/>
            <w:vAlign w:val="center"/>
            <w:hideMark/>
          </w:tcPr>
          <w:p w14:paraId="45027007" w14:textId="77777777" w:rsidR="00C937B8" w:rsidRPr="0081325D" w:rsidRDefault="00C937B8" w:rsidP="00382B43">
            <w:pPr>
              <w:rPr>
                <w:rFonts w:ascii="Calibri" w:hAnsi="Calibri" w:cs="Calibri"/>
                <w:color w:val="000000"/>
                <w:lang w:eastAsia="en-GB"/>
              </w:rPr>
            </w:pPr>
            <w:r w:rsidRPr="0081325D">
              <w:rPr>
                <w:rFonts w:ascii="Calibri" w:hAnsi="Calibri" w:cs="Calibri"/>
                <w:color w:val="000000"/>
                <w:lang w:eastAsia="en-GB"/>
              </w:rPr>
              <w:t>Trade and other receivables</w:t>
            </w:r>
          </w:p>
        </w:tc>
        <w:tc>
          <w:tcPr>
            <w:tcW w:w="347" w:type="pct"/>
            <w:tcBorders>
              <w:top w:val="nil"/>
              <w:left w:val="nil"/>
              <w:bottom w:val="nil"/>
              <w:right w:val="nil"/>
            </w:tcBorders>
            <w:shd w:val="clear" w:color="auto" w:fill="auto"/>
            <w:noWrap/>
            <w:vAlign w:val="center"/>
            <w:hideMark/>
          </w:tcPr>
          <w:p w14:paraId="099094AA" w14:textId="7C8493FA" w:rsidR="00C937B8" w:rsidRPr="0081325D" w:rsidRDefault="00C937B8" w:rsidP="00382B43">
            <w:pPr>
              <w:jc w:val="center"/>
              <w:rPr>
                <w:rFonts w:ascii="Calibri (body)" w:hAnsi="Calibri (body)" w:cs="Calibri"/>
                <w:color w:val="000000"/>
                <w:lang w:eastAsia="en-GB"/>
              </w:rPr>
            </w:pPr>
          </w:p>
        </w:tc>
        <w:tc>
          <w:tcPr>
            <w:tcW w:w="1320" w:type="pct"/>
            <w:tcBorders>
              <w:top w:val="nil"/>
              <w:left w:val="nil"/>
              <w:bottom w:val="nil"/>
              <w:right w:val="nil"/>
            </w:tcBorders>
            <w:shd w:val="clear" w:color="000000" w:fill="FFFFFF"/>
            <w:noWrap/>
            <w:vAlign w:val="center"/>
            <w:hideMark/>
          </w:tcPr>
          <w:p w14:paraId="0AA3E240" w14:textId="77777777" w:rsidR="00C937B8" w:rsidRPr="0081325D" w:rsidRDefault="00C937B8" w:rsidP="00382B43">
            <w:pPr>
              <w:jc w:val="right"/>
              <w:rPr>
                <w:rFonts w:ascii="Calibri" w:hAnsi="Calibri" w:cs="Calibri"/>
                <w:lang w:eastAsia="en-GB"/>
              </w:rPr>
            </w:pPr>
            <w:r>
              <w:rPr>
                <w:rFonts w:ascii="Calibri" w:hAnsi="Calibri" w:cs="Calibri"/>
                <w:lang w:eastAsia="en-GB"/>
              </w:rPr>
              <w:t>90</w:t>
            </w:r>
          </w:p>
        </w:tc>
        <w:tc>
          <w:tcPr>
            <w:tcW w:w="1140" w:type="pct"/>
            <w:tcBorders>
              <w:top w:val="nil"/>
              <w:left w:val="nil"/>
              <w:bottom w:val="nil"/>
              <w:right w:val="nil"/>
            </w:tcBorders>
            <w:shd w:val="clear" w:color="000000" w:fill="FFFFFF"/>
            <w:noWrap/>
            <w:vAlign w:val="center"/>
            <w:hideMark/>
          </w:tcPr>
          <w:p w14:paraId="4C2B7655"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508</w:t>
            </w:r>
          </w:p>
        </w:tc>
      </w:tr>
      <w:tr w:rsidR="00C937B8" w:rsidRPr="0081325D" w14:paraId="669B2272" w14:textId="77777777" w:rsidTr="00382B43">
        <w:trPr>
          <w:trHeight w:val="384"/>
        </w:trPr>
        <w:tc>
          <w:tcPr>
            <w:tcW w:w="2193" w:type="pct"/>
            <w:tcBorders>
              <w:top w:val="single" w:sz="4" w:space="0" w:color="auto"/>
              <w:left w:val="nil"/>
              <w:bottom w:val="single" w:sz="4" w:space="0" w:color="auto"/>
              <w:right w:val="nil"/>
            </w:tcBorders>
            <w:shd w:val="clear" w:color="auto" w:fill="auto"/>
            <w:noWrap/>
            <w:vAlign w:val="center"/>
            <w:hideMark/>
          </w:tcPr>
          <w:p w14:paraId="30AD2938" w14:textId="77777777" w:rsidR="00C937B8" w:rsidRPr="0081325D" w:rsidRDefault="00C937B8" w:rsidP="00382B43">
            <w:pPr>
              <w:rPr>
                <w:rFonts w:ascii="Calibri" w:hAnsi="Calibri" w:cs="Calibri"/>
                <w:b/>
                <w:bCs/>
                <w:color w:val="000000"/>
                <w:lang w:eastAsia="en-GB"/>
              </w:rPr>
            </w:pPr>
            <w:r w:rsidRPr="0081325D">
              <w:rPr>
                <w:rFonts w:ascii="Calibri" w:hAnsi="Calibri" w:cs="Calibri"/>
                <w:b/>
                <w:bCs/>
                <w:color w:val="000000"/>
                <w:lang w:eastAsia="en-GB"/>
              </w:rPr>
              <w:t>TOTAL CURRENT ASSETS</w:t>
            </w:r>
          </w:p>
        </w:tc>
        <w:tc>
          <w:tcPr>
            <w:tcW w:w="347" w:type="pct"/>
            <w:tcBorders>
              <w:top w:val="single" w:sz="4" w:space="0" w:color="auto"/>
              <w:left w:val="nil"/>
              <w:bottom w:val="single" w:sz="4" w:space="0" w:color="auto"/>
              <w:right w:val="nil"/>
            </w:tcBorders>
            <w:shd w:val="clear" w:color="auto" w:fill="auto"/>
            <w:noWrap/>
            <w:vAlign w:val="center"/>
            <w:hideMark/>
          </w:tcPr>
          <w:p w14:paraId="7E1322E1" w14:textId="77777777" w:rsidR="00C937B8" w:rsidRPr="0081325D" w:rsidRDefault="00C937B8" w:rsidP="00382B43">
            <w:pPr>
              <w:jc w:val="center"/>
              <w:rPr>
                <w:rFonts w:ascii="Calibri (body)" w:hAnsi="Calibri (body)" w:cs="Calibri"/>
                <w:color w:val="000000"/>
                <w:lang w:eastAsia="en-GB"/>
              </w:rPr>
            </w:pPr>
            <w:r w:rsidRPr="0081325D">
              <w:rPr>
                <w:rFonts w:ascii="Calibri (body)" w:hAnsi="Calibri (body)" w:cs="Calibri"/>
                <w:color w:val="000000"/>
                <w:lang w:eastAsia="en-GB"/>
              </w:rPr>
              <w:t> </w:t>
            </w:r>
          </w:p>
        </w:tc>
        <w:tc>
          <w:tcPr>
            <w:tcW w:w="1320" w:type="pct"/>
            <w:tcBorders>
              <w:top w:val="single" w:sz="4" w:space="0" w:color="auto"/>
              <w:left w:val="nil"/>
              <w:bottom w:val="single" w:sz="4" w:space="0" w:color="auto"/>
              <w:right w:val="nil"/>
            </w:tcBorders>
            <w:shd w:val="clear" w:color="000000" w:fill="FFFFFF"/>
            <w:noWrap/>
            <w:vAlign w:val="center"/>
            <w:hideMark/>
          </w:tcPr>
          <w:p w14:paraId="3F2E1444" w14:textId="77777777" w:rsidR="00C937B8" w:rsidRPr="0081325D" w:rsidRDefault="00C937B8" w:rsidP="00382B43">
            <w:pPr>
              <w:jc w:val="right"/>
              <w:rPr>
                <w:rFonts w:ascii="Calibri" w:hAnsi="Calibri" w:cs="Calibri"/>
                <w:lang w:eastAsia="en-GB"/>
              </w:rPr>
            </w:pPr>
            <w:r>
              <w:rPr>
                <w:rFonts w:ascii="Calibri" w:hAnsi="Calibri" w:cs="Calibri"/>
                <w:lang w:eastAsia="en-GB"/>
              </w:rPr>
              <w:t>525</w:t>
            </w:r>
          </w:p>
        </w:tc>
        <w:tc>
          <w:tcPr>
            <w:tcW w:w="1140" w:type="pct"/>
            <w:tcBorders>
              <w:top w:val="single" w:sz="4" w:space="0" w:color="auto"/>
              <w:left w:val="nil"/>
              <w:bottom w:val="single" w:sz="4" w:space="0" w:color="auto"/>
              <w:right w:val="nil"/>
            </w:tcBorders>
            <w:shd w:val="clear" w:color="000000" w:fill="FFFFFF"/>
            <w:noWrap/>
            <w:vAlign w:val="center"/>
            <w:hideMark/>
          </w:tcPr>
          <w:p w14:paraId="65CC385D"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2,032</w:t>
            </w:r>
          </w:p>
        </w:tc>
      </w:tr>
      <w:tr w:rsidR="00C937B8" w:rsidRPr="0081325D" w14:paraId="5ED07619" w14:textId="77777777" w:rsidTr="00382B43">
        <w:trPr>
          <w:trHeight w:val="384"/>
        </w:trPr>
        <w:tc>
          <w:tcPr>
            <w:tcW w:w="2193" w:type="pct"/>
            <w:tcBorders>
              <w:top w:val="nil"/>
              <w:left w:val="nil"/>
              <w:bottom w:val="single" w:sz="4" w:space="0" w:color="auto"/>
              <w:right w:val="nil"/>
            </w:tcBorders>
            <w:shd w:val="clear" w:color="auto" w:fill="auto"/>
            <w:noWrap/>
            <w:vAlign w:val="center"/>
            <w:hideMark/>
          </w:tcPr>
          <w:p w14:paraId="6885675F" w14:textId="77777777" w:rsidR="00C937B8" w:rsidRPr="0081325D" w:rsidRDefault="00C937B8" w:rsidP="00382B43">
            <w:pPr>
              <w:rPr>
                <w:rFonts w:ascii="Calibri" w:hAnsi="Calibri" w:cs="Calibri"/>
                <w:b/>
                <w:bCs/>
                <w:color w:val="000000"/>
                <w:lang w:eastAsia="en-GB"/>
              </w:rPr>
            </w:pPr>
            <w:r w:rsidRPr="0081325D">
              <w:rPr>
                <w:rFonts w:ascii="Calibri" w:hAnsi="Calibri" w:cs="Calibri"/>
                <w:b/>
                <w:bCs/>
                <w:color w:val="000000"/>
                <w:lang w:eastAsia="en-GB"/>
              </w:rPr>
              <w:t>TOTAL ASSETS</w:t>
            </w:r>
          </w:p>
        </w:tc>
        <w:tc>
          <w:tcPr>
            <w:tcW w:w="347" w:type="pct"/>
            <w:tcBorders>
              <w:top w:val="nil"/>
              <w:left w:val="nil"/>
              <w:bottom w:val="single" w:sz="4" w:space="0" w:color="auto"/>
              <w:right w:val="nil"/>
            </w:tcBorders>
            <w:shd w:val="clear" w:color="auto" w:fill="auto"/>
            <w:noWrap/>
            <w:vAlign w:val="center"/>
            <w:hideMark/>
          </w:tcPr>
          <w:p w14:paraId="60DBA04B" w14:textId="77777777" w:rsidR="00C937B8" w:rsidRPr="0081325D" w:rsidRDefault="00C937B8" w:rsidP="00382B43">
            <w:pPr>
              <w:jc w:val="center"/>
              <w:rPr>
                <w:rFonts w:ascii="Calibri (body)" w:hAnsi="Calibri (body)" w:cs="Calibri"/>
                <w:color w:val="000000"/>
                <w:lang w:eastAsia="en-GB"/>
              </w:rPr>
            </w:pPr>
            <w:r w:rsidRPr="0081325D">
              <w:rPr>
                <w:rFonts w:ascii="Calibri (body)" w:hAnsi="Calibri (body)" w:cs="Calibri"/>
                <w:color w:val="000000"/>
                <w:lang w:eastAsia="en-GB"/>
              </w:rPr>
              <w:t> </w:t>
            </w:r>
          </w:p>
        </w:tc>
        <w:tc>
          <w:tcPr>
            <w:tcW w:w="1320" w:type="pct"/>
            <w:tcBorders>
              <w:top w:val="nil"/>
              <w:left w:val="nil"/>
              <w:bottom w:val="single" w:sz="4" w:space="0" w:color="auto"/>
              <w:right w:val="nil"/>
            </w:tcBorders>
            <w:shd w:val="clear" w:color="000000" w:fill="FFFFFF"/>
            <w:noWrap/>
            <w:vAlign w:val="center"/>
            <w:hideMark/>
          </w:tcPr>
          <w:p w14:paraId="64A155F4"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1,</w:t>
            </w:r>
            <w:r>
              <w:rPr>
                <w:rFonts w:ascii="Calibri" w:hAnsi="Calibri" w:cs="Calibri"/>
                <w:b/>
                <w:bCs/>
                <w:lang w:eastAsia="en-GB"/>
              </w:rPr>
              <w:t>471</w:t>
            </w:r>
          </w:p>
        </w:tc>
        <w:tc>
          <w:tcPr>
            <w:tcW w:w="1140" w:type="pct"/>
            <w:tcBorders>
              <w:top w:val="nil"/>
              <w:left w:val="nil"/>
              <w:bottom w:val="single" w:sz="4" w:space="0" w:color="auto"/>
              <w:right w:val="nil"/>
            </w:tcBorders>
            <w:shd w:val="clear" w:color="000000" w:fill="FFFFFF"/>
            <w:noWrap/>
            <w:vAlign w:val="center"/>
            <w:hideMark/>
          </w:tcPr>
          <w:p w14:paraId="1C6B6362"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2,560</w:t>
            </w:r>
          </w:p>
        </w:tc>
      </w:tr>
      <w:tr w:rsidR="00C937B8" w:rsidRPr="0081325D" w14:paraId="27AA3292" w14:textId="77777777" w:rsidTr="00382B43">
        <w:trPr>
          <w:trHeight w:val="400"/>
        </w:trPr>
        <w:tc>
          <w:tcPr>
            <w:tcW w:w="2193" w:type="pct"/>
            <w:tcBorders>
              <w:top w:val="nil"/>
              <w:left w:val="nil"/>
              <w:bottom w:val="nil"/>
              <w:right w:val="nil"/>
            </w:tcBorders>
            <w:shd w:val="clear" w:color="auto" w:fill="auto"/>
            <w:noWrap/>
            <w:vAlign w:val="center"/>
            <w:hideMark/>
          </w:tcPr>
          <w:p w14:paraId="7E4F9291" w14:textId="77777777" w:rsidR="00C937B8" w:rsidRPr="0081325D" w:rsidRDefault="00C937B8" w:rsidP="00382B43">
            <w:pPr>
              <w:jc w:val="right"/>
              <w:rPr>
                <w:rFonts w:ascii="Calibri" w:hAnsi="Calibri" w:cs="Calibri"/>
                <w:b/>
                <w:bCs/>
                <w:lang w:eastAsia="en-GB"/>
              </w:rPr>
            </w:pPr>
          </w:p>
        </w:tc>
        <w:tc>
          <w:tcPr>
            <w:tcW w:w="347" w:type="pct"/>
            <w:tcBorders>
              <w:top w:val="nil"/>
              <w:left w:val="nil"/>
              <w:bottom w:val="nil"/>
              <w:right w:val="nil"/>
            </w:tcBorders>
            <w:shd w:val="clear" w:color="auto" w:fill="auto"/>
            <w:noWrap/>
            <w:vAlign w:val="center"/>
            <w:hideMark/>
          </w:tcPr>
          <w:p w14:paraId="4DB6BDAF" w14:textId="77777777" w:rsidR="00C937B8" w:rsidRPr="0081325D" w:rsidRDefault="00C937B8" w:rsidP="00382B43">
            <w:pPr>
              <w:rPr>
                <w:sz w:val="20"/>
                <w:szCs w:val="20"/>
                <w:lang w:eastAsia="en-GB"/>
              </w:rPr>
            </w:pPr>
          </w:p>
        </w:tc>
        <w:tc>
          <w:tcPr>
            <w:tcW w:w="1320" w:type="pct"/>
            <w:tcBorders>
              <w:top w:val="nil"/>
              <w:left w:val="nil"/>
              <w:bottom w:val="nil"/>
              <w:right w:val="nil"/>
            </w:tcBorders>
            <w:shd w:val="clear" w:color="000000" w:fill="FFFFFF"/>
            <w:noWrap/>
            <w:vAlign w:val="center"/>
            <w:hideMark/>
          </w:tcPr>
          <w:p w14:paraId="7697C9E6"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 </w:t>
            </w:r>
          </w:p>
        </w:tc>
        <w:tc>
          <w:tcPr>
            <w:tcW w:w="1140" w:type="pct"/>
            <w:tcBorders>
              <w:top w:val="nil"/>
              <w:left w:val="nil"/>
              <w:bottom w:val="nil"/>
              <w:right w:val="nil"/>
            </w:tcBorders>
            <w:shd w:val="clear" w:color="000000" w:fill="FFFFFF"/>
            <w:noWrap/>
            <w:vAlign w:val="center"/>
            <w:hideMark/>
          </w:tcPr>
          <w:p w14:paraId="382968E7"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 </w:t>
            </w:r>
          </w:p>
        </w:tc>
      </w:tr>
      <w:tr w:rsidR="00C937B8" w:rsidRPr="0081325D" w14:paraId="6E597425" w14:textId="77777777" w:rsidTr="00382B43">
        <w:trPr>
          <w:trHeight w:val="384"/>
        </w:trPr>
        <w:tc>
          <w:tcPr>
            <w:tcW w:w="2193" w:type="pct"/>
            <w:tcBorders>
              <w:top w:val="single" w:sz="4" w:space="0" w:color="auto"/>
              <w:left w:val="nil"/>
              <w:bottom w:val="nil"/>
              <w:right w:val="nil"/>
            </w:tcBorders>
            <w:shd w:val="clear" w:color="auto" w:fill="auto"/>
            <w:noWrap/>
            <w:vAlign w:val="center"/>
            <w:hideMark/>
          </w:tcPr>
          <w:p w14:paraId="4762DDE9" w14:textId="77777777" w:rsidR="00C937B8" w:rsidRPr="0081325D" w:rsidRDefault="00C937B8" w:rsidP="00382B43">
            <w:pPr>
              <w:rPr>
                <w:rFonts w:ascii="Calibri" w:hAnsi="Calibri" w:cs="Calibri"/>
                <w:b/>
                <w:bCs/>
                <w:color w:val="000000"/>
                <w:lang w:eastAsia="en-GB"/>
              </w:rPr>
            </w:pPr>
            <w:r w:rsidRPr="0081325D">
              <w:rPr>
                <w:rFonts w:ascii="Calibri" w:hAnsi="Calibri" w:cs="Calibri"/>
                <w:b/>
                <w:bCs/>
                <w:color w:val="000000"/>
                <w:lang w:eastAsia="en-GB"/>
              </w:rPr>
              <w:t>CURRENT LIABILITIES</w:t>
            </w:r>
          </w:p>
        </w:tc>
        <w:tc>
          <w:tcPr>
            <w:tcW w:w="347" w:type="pct"/>
            <w:tcBorders>
              <w:top w:val="single" w:sz="4" w:space="0" w:color="auto"/>
              <w:left w:val="nil"/>
              <w:bottom w:val="nil"/>
              <w:right w:val="nil"/>
            </w:tcBorders>
            <w:shd w:val="clear" w:color="auto" w:fill="auto"/>
            <w:noWrap/>
            <w:vAlign w:val="center"/>
            <w:hideMark/>
          </w:tcPr>
          <w:p w14:paraId="36E80970" w14:textId="77777777" w:rsidR="00C937B8" w:rsidRPr="0081325D" w:rsidRDefault="00C937B8" w:rsidP="00382B43">
            <w:pPr>
              <w:jc w:val="center"/>
              <w:rPr>
                <w:rFonts w:ascii="Calibri (body)" w:hAnsi="Calibri (body)" w:cs="Calibri"/>
                <w:color w:val="000000"/>
                <w:lang w:eastAsia="en-GB"/>
              </w:rPr>
            </w:pPr>
            <w:r w:rsidRPr="0081325D">
              <w:rPr>
                <w:rFonts w:ascii="Calibri (body)" w:hAnsi="Calibri (body)" w:cs="Calibri"/>
                <w:color w:val="000000"/>
                <w:lang w:eastAsia="en-GB"/>
              </w:rPr>
              <w:t> </w:t>
            </w:r>
          </w:p>
        </w:tc>
        <w:tc>
          <w:tcPr>
            <w:tcW w:w="1320" w:type="pct"/>
            <w:tcBorders>
              <w:top w:val="single" w:sz="4" w:space="0" w:color="auto"/>
              <w:left w:val="nil"/>
              <w:bottom w:val="nil"/>
              <w:right w:val="nil"/>
            </w:tcBorders>
            <w:shd w:val="clear" w:color="000000" w:fill="FFFFFF"/>
            <w:noWrap/>
            <w:vAlign w:val="center"/>
            <w:hideMark/>
          </w:tcPr>
          <w:p w14:paraId="7EBEE6B3"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 </w:t>
            </w:r>
          </w:p>
        </w:tc>
        <w:tc>
          <w:tcPr>
            <w:tcW w:w="1140" w:type="pct"/>
            <w:tcBorders>
              <w:top w:val="single" w:sz="4" w:space="0" w:color="auto"/>
              <w:left w:val="nil"/>
              <w:bottom w:val="nil"/>
              <w:right w:val="nil"/>
            </w:tcBorders>
            <w:shd w:val="clear" w:color="000000" w:fill="FFFFFF"/>
            <w:noWrap/>
            <w:vAlign w:val="center"/>
            <w:hideMark/>
          </w:tcPr>
          <w:p w14:paraId="7CA55922"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 </w:t>
            </w:r>
          </w:p>
        </w:tc>
      </w:tr>
      <w:tr w:rsidR="00C937B8" w:rsidRPr="0081325D" w14:paraId="127C1A92" w14:textId="77777777" w:rsidTr="00382B43">
        <w:trPr>
          <w:trHeight w:val="384"/>
        </w:trPr>
        <w:tc>
          <w:tcPr>
            <w:tcW w:w="2193" w:type="pct"/>
            <w:tcBorders>
              <w:top w:val="nil"/>
              <w:left w:val="nil"/>
              <w:bottom w:val="nil"/>
              <w:right w:val="nil"/>
            </w:tcBorders>
            <w:shd w:val="clear" w:color="auto" w:fill="auto"/>
            <w:noWrap/>
            <w:vAlign w:val="center"/>
            <w:hideMark/>
          </w:tcPr>
          <w:p w14:paraId="78C9A6F3" w14:textId="77777777" w:rsidR="00C937B8" w:rsidRPr="0081325D" w:rsidRDefault="00C937B8" w:rsidP="00382B43">
            <w:pPr>
              <w:rPr>
                <w:rFonts w:ascii="Calibri" w:hAnsi="Calibri" w:cs="Calibri"/>
                <w:color w:val="000000"/>
                <w:lang w:eastAsia="en-GB"/>
              </w:rPr>
            </w:pPr>
            <w:r w:rsidRPr="0081325D">
              <w:rPr>
                <w:rFonts w:ascii="Calibri" w:hAnsi="Calibri" w:cs="Calibri"/>
                <w:color w:val="000000"/>
                <w:lang w:eastAsia="en-GB"/>
              </w:rPr>
              <w:t>Trade and other payables</w:t>
            </w:r>
          </w:p>
        </w:tc>
        <w:tc>
          <w:tcPr>
            <w:tcW w:w="347" w:type="pct"/>
            <w:tcBorders>
              <w:top w:val="nil"/>
              <w:left w:val="nil"/>
              <w:bottom w:val="nil"/>
              <w:right w:val="nil"/>
            </w:tcBorders>
            <w:shd w:val="clear" w:color="auto" w:fill="auto"/>
            <w:noWrap/>
            <w:vAlign w:val="center"/>
            <w:hideMark/>
          </w:tcPr>
          <w:p w14:paraId="6B16ADB0" w14:textId="713B302A" w:rsidR="00C937B8" w:rsidRPr="0081325D" w:rsidRDefault="00C937B8" w:rsidP="00382B43">
            <w:pPr>
              <w:jc w:val="center"/>
              <w:rPr>
                <w:rFonts w:ascii="Calibri (body)" w:hAnsi="Calibri (body)" w:cs="Calibri"/>
                <w:color w:val="000000"/>
                <w:lang w:eastAsia="en-GB"/>
              </w:rPr>
            </w:pPr>
          </w:p>
        </w:tc>
        <w:tc>
          <w:tcPr>
            <w:tcW w:w="1320" w:type="pct"/>
            <w:tcBorders>
              <w:top w:val="nil"/>
              <w:left w:val="nil"/>
              <w:bottom w:val="nil"/>
              <w:right w:val="nil"/>
            </w:tcBorders>
            <w:shd w:val="clear" w:color="000000" w:fill="FFFFFF"/>
            <w:noWrap/>
            <w:vAlign w:val="center"/>
            <w:hideMark/>
          </w:tcPr>
          <w:p w14:paraId="60122B0D"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62</w:t>
            </w:r>
          </w:p>
        </w:tc>
        <w:tc>
          <w:tcPr>
            <w:tcW w:w="1140" w:type="pct"/>
            <w:tcBorders>
              <w:top w:val="nil"/>
              <w:left w:val="nil"/>
              <w:bottom w:val="nil"/>
              <w:right w:val="nil"/>
            </w:tcBorders>
            <w:shd w:val="clear" w:color="000000" w:fill="FFFFFF"/>
            <w:noWrap/>
            <w:vAlign w:val="center"/>
            <w:hideMark/>
          </w:tcPr>
          <w:p w14:paraId="340A8424"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147</w:t>
            </w:r>
          </w:p>
        </w:tc>
      </w:tr>
      <w:tr w:rsidR="00C937B8" w:rsidRPr="0081325D" w14:paraId="0CA2BBF9" w14:textId="77777777" w:rsidTr="00382B43">
        <w:trPr>
          <w:trHeight w:val="384"/>
        </w:trPr>
        <w:tc>
          <w:tcPr>
            <w:tcW w:w="2193" w:type="pct"/>
            <w:tcBorders>
              <w:top w:val="single" w:sz="4" w:space="0" w:color="auto"/>
              <w:left w:val="nil"/>
              <w:bottom w:val="single" w:sz="4" w:space="0" w:color="auto"/>
              <w:right w:val="nil"/>
            </w:tcBorders>
            <w:shd w:val="clear" w:color="auto" w:fill="auto"/>
            <w:noWrap/>
            <w:vAlign w:val="center"/>
            <w:hideMark/>
          </w:tcPr>
          <w:p w14:paraId="3E13FD13" w14:textId="77777777" w:rsidR="00C937B8" w:rsidRPr="0081325D" w:rsidRDefault="00C937B8" w:rsidP="00382B43">
            <w:pPr>
              <w:rPr>
                <w:rFonts w:ascii="Calibri" w:hAnsi="Calibri" w:cs="Calibri"/>
                <w:b/>
                <w:bCs/>
                <w:color w:val="000000"/>
                <w:lang w:eastAsia="en-GB"/>
              </w:rPr>
            </w:pPr>
            <w:r w:rsidRPr="0081325D">
              <w:rPr>
                <w:rFonts w:ascii="Calibri" w:hAnsi="Calibri" w:cs="Calibri"/>
                <w:b/>
                <w:bCs/>
                <w:color w:val="000000"/>
                <w:lang w:eastAsia="en-GB"/>
              </w:rPr>
              <w:t>TOTAL CURRENT LIABILITIES</w:t>
            </w:r>
          </w:p>
        </w:tc>
        <w:tc>
          <w:tcPr>
            <w:tcW w:w="347" w:type="pct"/>
            <w:tcBorders>
              <w:top w:val="single" w:sz="4" w:space="0" w:color="auto"/>
              <w:left w:val="nil"/>
              <w:bottom w:val="single" w:sz="4" w:space="0" w:color="auto"/>
              <w:right w:val="nil"/>
            </w:tcBorders>
            <w:shd w:val="clear" w:color="auto" w:fill="auto"/>
            <w:noWrap/>
            <w:vAlign w:val="center"/>
            <w:hideMark/>
          </w:tcPr>
          <w:p w14:paraId="1FE097EC" w14:textId="77777777" w:rsidR="00C937B8" w:rsidRPr="0081325D" w:rsidRDefault="00C937B8" w:rsidP="00382B43">
            <w:pPr>
              <w:jc w:val="center"/>
              <w:rPr>
                <w:rFonts w:ascii="Calibri (body)" w:hAnsi="Calibri (body)" w:cs="Calibri"/>
                <w:color w:val="000000"/>
                <w:lang w:eastAsia="en-GB"/>
              </w:rPr>
            </w:pPr>
            <w:r w:rsidRPr="0081325D">
              <w:rPr>
                <w:rFonts w:ascii="Calibri (body)" w:hAnsi="Calibri (body)" w:cs="Calibri"/>
                <w:color w:val="000000"/>
                <w:lang w:eastAsia="en-GB"/>
              </w:rPr>
              <w:t> </w:t>
            </w:r>
          </w:p>
        </w:tc>
        <w:tc>
          <w:tcPr>
            <w:tcW w:w="1320" w:type="pct"/>
            <w:tcBorders>
              <w:top w:val="single" w:sz="4" w:space="0" w:color="auto"/>
              <w:left w:val="nil"/>
              <w:bottom w:val="single" w:sz="4" w:space="0" w:color="auto"/>
              <w:right w:val="nil"/>
            </w:tcBorders>
            <w:shd w:val="clear" w:color="000000" w:fill="FFFFFF"/>
            <w:noWrap/>
            <w:vAlign w:val="center"/>
            <w:hideMark/>
          </w:tcPr>
          <w:p w14:paraId="0631004B" w14:textId="77777777" w:rsidR="00C937B8" w:rsidRPr="0081325D" w:rsidRDefault="00C937B8" w:rsidP="00382B43">
            <w:pPr>
              <w:jc w:val="right"/>
              <w:rPr>
                <w:rFonts w:ascii="Calibri" w:hAnsi="Calibri" w:cs="Calibri"/>
                <w:b/>
                <w:bCs/>
                <w:lang w:eastAsia="en-GB"/>
              </w:rPr>
            </w:pPr>
            <w:r>
              <w:rPr>
                <w:rFonts w:ascii="Calibri" w:hAnsi="Calibri" w:cs="Calibri"/>
                <w:b/>
                <w:bCs/>
                <w:lang w:eastAsia="en-GB"/>
              </w:rPr>
              <w:t>62</w:t>
            </w:r>
          </w:p>
        </w:tc>
        <w:tc>
          <w:tcPr>
            <w:tcW w:w="1140" w:type="pct"/>
            <w:tcBorders>
              <w:top w:val="single" w:sz="4" w:space="0" w:color="auto"/>
              <w:left w:val="nil"/>
              <w:bottom w:val="single" w:sz="4" w:space="0" w:color="auto"/>
              <w:right w:val="nil"/>
            </w:tcBorders>
            <w:shd w:val="clear" w:color="000000" w:fill="FFFFFF"/>
            <w:noWrap/>
            <w:vAlign w:val="center"/>
            <w:hideMark/>
          </w:tcPr>
          <w:p w14:paraId="20E502A2"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147</w:t>
            </w:r>
          </w:p>
        </w:tc>
      </w:tr>
      <w:tr w:rsidR="00C937B8" w:rsidRPr="0081325D" w14:paraId="4A46FEF8" w14:textId="77777777" w:rsidTr="00382B43">
        <w:trPr>
          <w:trHeight w:val="384"/>
        </w:trPr>
        <w:tc>
          <w:tcPr>
            <w:tcW w:w="2193" w:type="pct"/>
            <w:tcBorders>
              <w:top w:val="nil"/>
              <w:left w:val="nil"/>
              <w:bottom w:val="single" w:sz="4" w:space="0" w:color="auto"/>
              <w:right w:val="nil"/>
            </w:tcBorders>
            <w:shd w:val="clear" w:color="auto" w:fill="auto"/>
            <w:noWrap/>
            <w:vAlign w:val="center"/>
            <w:hideMark/>
          </w:tcPr>
          <w:p w14:paraId="5A11FEFF" w14:textId="77777777" w:rsidR="00C937B8" w:rsidRPr="0081325D" w:rsidRDefault="00C937B8" w:rsidP="00382B43">
            <w:pPr>
              <w:rPr>
                <w:rFonts w:ascii="Calibri" w:hAnsi="Calibri" w:cs="Calibri"/>
                <w:b/>
                <w:bCs/>
                <w:color w:val="000000"/>
                <w:lang w:eastAsia="en-GB"/>
              </w:rPr>
            </w:pPr>
            <w:r w:rsidRPr="0081325D">
              <w:rPr>
                <w:rFonts w:ascii="Calibri" w:hAnsi="Calibri" w:cs="Calibri"/>
                <w:b/>
                <w:bCs/>
                <w:color w:val="000000"/>
                <w:lang w:eastAsia="en-GB"/>
              </w:rPr>
              <w:t>TOTAL LIABILITIES</w:t>
            </w:r>
          </w:p>
        </w:tc>
        <w:tc>
          <w:tcPr>
            <w:tcW w:w="347" w:type="pct"/>
            <w:tcBorders>
              <w:top w:val="nil"/>
              <w:left w:val="nil"/>
              <w:bottom w:val="single" w:sz="4" w:space="0" w:color="auto"/>
              <w:right w:val="nil"/>
            </w:tcBorders>
            <w:shd w:val="clear" w:color="auto" w:fill="auto"/>
            <w:noWrap/>
            <w:vAlign w:val="center"/>
            <w:hideMark/>
          </w:tcPr>
          <w:p w14:paraId="7F7057AC" w14:textId="77777777" w:rsidR="00C937B8" w:rsidRPr="0081325D" w:rsidRDefault="00C937B8" w:rsidP="00382B43">
            <w:pPr>
              <w:jc w:val="center"/>
              <w:rPr>
                <w:rFonts w:ascii="Calibri (body)" w:hAnsi="Calibri (body)" w:cs="Calibri"/>
                <w:color w:val="000000"/>
                <w:lang w:eastAsia="en-GB"/>
              </w:rPr>
            </w:pPr>
            <w:r w:rsidRPr="0081325D">
              <w:rPr>
                <w:rFonts w:ascii="Calibri (body)" w:hAnsi="Calibri (body)" w:cs="Calibri"/>
                <w:color w:val="000000"/>
                <w:lang w:eastAsia="en-GB"/>
              </w:rPr>
              <w:t> </w:t>
            </w:r>
          </w:p>
        </w:tc>
        <w:tc>
          <w:tcPr>
            <w:tcW w:w="1320" w:type="pct"/>
            <w:tcBorders>
              <w:top w:val="nil"/>
              <w:left w:val="nil"/>
              <w:bottom w:val="single" w:sz="4" w:space="0" w:color="auto"/>
              <w:right w:val="nil"/>
            </w:tcBorders>
            <w:shd w:val="clear" w:color="000000" w:fill="FFFFFF"/>
            <w:noWrap/>
            <w:vAlign w:val="center"/>
            <w:hideMark/>
          </w:tcPr>
          <w:p w14:paraId="13E055ED" w14:textId="77777777" w:rsidR="00C937B8" w:rsidRPr="0081325D" w:rsidRDefault="00C937B8" w:rsidP="00382B43">
            <w:pPr>
              <w:jc w:val="right"/>
              <w:rPr>
                <w:rFonts w:ascii="Calibri" w:hAnsi="Calibri" w:cs="Calibri"/>
                <w:b/>
                <w:bCs/>
                <w:lang w:eastAsia="en-GB"/>
              </w:rPr>
            </w:pPr>
            <w:r>
              <w:rPr>
                <w:rFonts w:ascii="Calibri" w:hAnsi="Calibri" w:cs="Calibri"/>
                <w:b/>
                <w:bCs/>
                <w:lang w:eastAsia="en-GB"/>
              </w:rPr>
              <w:t>62</w:t>
            </w:r>
          </w:p>
        </w:tc>
        <w:tc>
          <w:tcPr>
            <w:tcW w:w="1140" w:type="pct"/>
            <w:tcBorders>
              <w:top w:val="nil"/>
              <w:left w:val="nil"/>
              <w:bottom w:val="single" w:sz="4" w:space="0" w:color="auto"/>
              <w:right w:val="nil"/>
            </w:tcBorders>
            <w:shd w:val="clear" w:color="000000" w:fill="FFFFFF"/>
            <w:noWrap/>
            <w:vAlign w:val="center"/>
            <w:hideMark/>
          </w:tcPr>
          <w:p w14:paraId="204D2311"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147</w:t>
            </w:r>
          </w:p>
        </w:tc>
      </w:tr>
      <w:tr w:rsidR="00C937B8" w:rsidRPr="0081325D" w14:paraId="2F09F43A" w14:textId="77777777" w:rsidTr="00382B43">
        <w:trPr>
          <w:trHeight w:val="384"/>
        </w:trPr>
        <w:tc>
          <w:tcPr>
            <w:tcW w:w="2193" w:type="pct"/>
            <w:tcBorders>
              <w:top w:val="nil"/>
              <w:left w:val="nil"/>
              <w:bottom w:val="double" w:sz="6" w:space="0" w:color="auto"/>
              <w:right w:val="nil"/>
            </w:tcBorders>
            <w:shd w:val="clear" w:color="auto" w:fill="auto"/>
            <w:noWrap/>
            <w:vAlign w:val="center"/>
            <w:hideMark/>
          </w:tcPr>
          <w:p w14:paraId="20B047FD" w14:textId="77777777" w:rsidR="00C937B8" w:rsidRPr="0081325D" w:rsidRDefault="00C937B8" w:rsidP="00382B43">
            <w:pPr>
              <w:rPr>
                <w:rFonts w:ascii="Calibri" w:hAnsi="Calibri" w:cs="Calibri"/>
                <w:b/>
                <w:bCs/>
                <w:color w:val="000000"/>
                <w:lang w:eastAsia="en-GB"/>
              </w:rPr>
            </w:pPr>
            <w:r w:rsidRPr="0081325D">
              <w:rPr>
                <w:rFonts w:ascii="Calibri" w:hAnsi="Calibri" w:cs="Calibri"/>
                <w:b/>
                <w:bCs/>
                <w:color w:val="000000"/>
                <w:lang w:eastAsia="en-GB"/>
              </w:rPr>
              <w:t>NET ASSETS</w:t>
            </w:r>
          </w:p>
        </w:tc>
        <w:tc>
          <w:tcPr>
            <w:tcW w:w="347" w:type="pct"/>
            <w:tcBorders>
              <w:top w:val="nil"/>
              <w:left w:val="nil"/>
              <w:bottom w:val="double" w:sz="6" w:space="0" w:color="auto"/>
              <w:right w:val="nil"/>
            </w:tcBorders>
            <w:shd w:val="clear" w:color="auto" w:fill="auto"/>
            <w:noWrap/>
            <w:vAlign w:val="center"/>
            <w:hideMark/>
          </w:tcPr>
          <w:p w14:paraId="25C66ADC" w14:textId="77777777" w:rsidR="00C937B8" w:rsidRPr="0081325D" w:rsidRDefault="00C937B8" w:rsidP="00382B43">
            <w:pPr>
              <w:jc w:val="center"/>
              <w:rPr>
                <w:rFonts w:ascii="Calibri (body)" w:hAnsi="Calibri (body)" w:cs="Calibri"/>
                <w:color w:val="000000"/>
                <w:lang w:eastAsia="en-GB"/>
              </w:rPr>
            </w:pPr>
            <w:r w:rsidRPr="0081325D">
              <w:rPr>
                <w:rFonts w:ascii="Calibri (body)" w:hAnsi="Calibri (body)" w:cs="Calibri"/>
                <w:color w:val="000000"/>
                <w:lang w:eastAsia="en-GB"/>
              </w:rPr>
              <w:t> </w:t>
            </w:r>
          </w:p>
        </w:tc>
        <w:tc>
          <w:tcPr>
            <w:tcW w:w="1320" w:type="pct"/>
            <w:tcBorders>
              <w:top w:val="nil"/>
              <w:left w:val="nil"/>
              <w:bottom w:val="double" w:sz="6" w:space="0" w:color="auto"/>
              <w:right w:val="nil"/>
            </w:tcBorders>
            <w:shd w:val="clear" w:color="000000" w:fill="FFFFFF"/>
            <w:noWrap/>
            <w:vAlign w:val="center"/>
            <w:hideMark/>
          </w:tcPr>
          <w:p w14:paraId="47FE4B5E"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1,409</w:t>
            </w:r>
          </w:p>
        </w:tc>
        <w:tc>
          <w:tcPr>
            <w:tcW w:w="1140" w:type="pct"/>
            <w:tcBorders>
              <w:top w:val="nil"/>
              <w:left w:val="nil"/>
              <w:bottom w:val="double" w:sz="6" w:space="0" w:color="auto"/>
              <w:right w:val="nil"/>
            </w:tcBorders>
            <w:shd w:val="clear" w:color="000000" w:fill="FFFFFF"/>
            <w:noWrap/>
            <w:vAlign w:val="center"/>
            <w:hideMark/>
          </w:tcPr>
          <w:p w14:paraId="019E4000"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2,413</w:t>
            </w:r>
          </w:p>
        </w:tc>
      </w:tr>
      <w:tr w:rsidR="00C937B8" w:rsidRPr="0081325D" w14:paraId="3D8E1913" w14:textId="77777777" w:rsidTr="00382B43">
        <w:trPr>
          <w:trHeight w:val="400"/>
        </w:trPr>
        <w:tc>
          <w:tcPr>
            <w:tcW w:w="2193" w:type="pct"/>
            <w:tcBorders>
              <w:top w:val="nil"/>
              <w:left w:val="nil"/>
              <w:bottom w:val="nil"/>
              <w:right w:val="nil"/>
            </w:tcBorders>
            <w:shd w:val="clear" w:color="auto" w:fill="auto"/>
            <w:noWrap/>
            <w:vAlign w:val="center"/>
            <w:hideMark/>
          </w:tcPr>
          <w:p w14:paraId="2BEB1FB4" w14:textId="77777777" w:rsidR="00C937B8" w:rsidRPr="0081325D" w:rsidRDefault="00C937B8" w:rsidP="00382B43">
            <w:pPr>
              <w:jc w:val="right"/>
              <w:rPr>
                <w:rFonts w:ascii="Calibri" w:hAnsi="Calibri" w:cs="Calibri"/>
                <w:b/>
                <w:bCs/>
                <w:lang w:eastAsia="en-GB"/>
              </w:rPr>
            </w:pPr>
          </w:p>
        </w:tc>
        <w:tc>
          <w:tcPr>
            <w:tcW w:w="347" w:type="pct"/>
            <w:tcBorders>
              <w:top w:val="nil"/>
              <w:left w:val="nil"/>
              <w:bottom w:val="nil"/>
              <w:right w:val="nil"/>
            </w:tcBorders>
            <w:shd w:val="clear" w:color="auto" w:fill="auto"/>
            <w:noWrap/>
            <w:vAlign w:val="center"/>
            <w:hideMark/>
          </w:tcPr>
          <w:p w14:paraId="762BF811" w14:textId="77777777" w:rsidR="00C937B8" w:rsidRPr="0081325D" w:rsidRDefault="00C937B8" w:rsidP="00382B43">
            <w:pPr>
              <w:rPr>
                <w:sz w:val="20"/>
                <w:szCs w:val="20"/>
                <w:lang w:eastAsia="en-GB"/>
              </w:rPr>
            </w:pPr>
          </w:p>
        </w:tc>
        <w:tc>
          <w:tcPr>
            <w:tcW w:w="1320" w:type="pct"/>
            <w:tcBorders>
              <w:top w:val="nil"/>
              <w:left w:val="nil"/>
              <w:bottom w:val="nil"/>
              <w:right w:val="nil"/>
            </w:tcBorders>
            <w:shd w:val="clear" w:color="auto" w:fill="auto"/>
            <w:noWrap/>
            <w:vAlign w:val="center"/>
            <w:hideMark/>
          </w:tcPr>
          <w:p w14:paraId="0FD8AB2A" w14:textId="77777777" w:rsidR="00C937B8" w:rsidRPr="0081325D" w:rsidRDefault="00C937B8" w:rsidP="00382B43">
            <w:pPr>
              <w:jc w:val="center"/>
              <w:rPr>
                <w:sz w:val="20"/>
                <w:szCs w:val="20"/>
                <w:lang w:eastAsia="en-GB"/>
              </w:rPr>
            </w:pPr>
          </w:p>
        </w:tc>
        <w:tc>
          <w:tcPr>
            <w:tcW w:w="1140" w:type="pct"/>
            <w:tcBorders>
              <w:top w:val="nil"/>
              <w:left w:val="nil"/>
              <w:bottom w:val="nil"/>
              <w:right w:val="nil"/>
            </w:tcBorders>
            <w:shd w:val="clear" w:color="auto" w:fill="auto"/>
            <w:noWrap/>
            <w:vAlign w:val="center"/>
            <w:hideMark/>
          </w:tcPr>
          <w:p w14:paraId="062B133F" w14:textId="77777777" w:rsidR="00C937B8" w:rsidRPr="0081325D" w:rsidRDefault="00C937B8" w:rsidP="00382B43">
            <w:pPr>
              <w:rPr>
                <w:sz w:val="20"/>
                <w:szCs w:val="20"/>
                <w:lang w:eastAsia="en-GB"/>
              </w:rPr>
            </w:pPr>
          </w:p>
        </w:tc>
      </w:tr>
      <w:tr w:rsidR="00C937B8" w:rsidRPr="0081325D" w14:paraId="418499FB" w14:textId="77777777" w:rsidTr="00382B43">
        <w:trPr>
          <w:trHeight w:val="384"/>
        </w:trPr>
        <w:tc>
          <w:tcPr>
            <w:tcW w:w="2193" w:type="pct"/>
            <w:tcBorders>
              <w:top w:val="nil"/>
              <w:left w:val="nil"/>
              <w:bottom w:val="nil"/>
              <w:right w:val="nil"/>
            </w:tcBorders>
            <w:shd w:val="clear" w:color="auto" w:fill="auto"/>
            <w:noWrap/>
            <w:vAlign w:val="center"/>
            <w:hideMark/>
          </w:tcPr>
          <w:p w14:paraId="0F64C8CB" w14:textId="77777777" w:rsidR="00C937B8" w:rsidRPr="0081325D" w:rsidRDefault="00C937B8" w:rsidP="00382B43">
            <w:pPr>
              <w:rPr>
                <w:rFonts w:ascii="Calibri" w:hAnsi="Calibri" w:cs="Calibri"/>
                <w:b/>
                <w:bCs/>
                <w:color w:val="000000"/>
                <w:lang w:eastAsia="en-GB"/>
              </w:rPr>
            </w:pPr>
            <w:r w:rsidRPr="0081325D">
              <w:rPr>
                <w:rFonts w:ascii="Calibri" w:hAnsi="Calibri" w:cs="Calibri"/>
                <w:b/>
                <w:bCs/>
                <w:color w:val="000000"/>
                <w:lang w:eastAsia="en-GB"/>
              </w:rPr>
              <w:t>EQUITY</w:t>
            </w:r>
          </w:p>
        </w:tc>
        <w:tc>
          <w:tcPr>
            <w:tcW w:w="347" w:type="pct"/>
            <w:tcBorders>
              <w:top w:val="nil"/>
              <w:left w:val="nil"/>
              <w:bottom w:val="nil"/>
              <w:right w:val="nil"/>
            </w:tcBorders>
            <w:shd w:val="clear" w:color="auto" w:fill="auto"/>
            <w:noWrap/>
            <w:vAlign w:val="center"/>
            <w:hideMark/>
          </w:tcPr>
          <w:p w14:paraId="2877D3E3" w14:textId="77777777" w:rsidR="00C937B8" w:rsidRPr="0081325D" w:rsidRDefault="00C937B8" w:rsidP="00382B43">
            <w:pPr>
              <w:rPr>
                <w:rFonts w:ascii="Calibri" w:hAnsi="Calibri" w:cs="Calibri"/>
                <w:b/>
                <w:bCs/>
                <w:color w:val="000000"/>
                <w:lang w:eastAsia="en-GB"/>
              </w:rPr>
            </w:pPr>
          </w:p>
        </w:tc>
        <w:tc>
          <w:tcPr>
            <w:tcW w:w="1320" w:type="pct"/>
            <w:tcBorders>
              <w:top w:val="nil"/>
              <w:left w:val="nil"/>
              <w:bottom w:val="nil"/>
              <w:right w:val="nil"/>
            </w:tcBorders>
            <w:shd w:val="clear" w:color="000000" w:fill="FFFFFF"/>
            <w:noWrap/>
            <w:vAlign w:val="center"/>
            <w:hideMark/>
          </w:tcPr>
          <w:p w14:paraId="18087187"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 </w:t>
            </w:r>
          </w:p>
        </w:tc>
        <w:tc>
          <w:tcPr>
            <w:tcW w:w="1140" w:type="pct"/>
            <w:tcBorders>
              <w:top w:val="nil"/>
              <w:left w:val="nil"/>
              <w:bottom w:val="nil"/>
              <w:right w:val="nil"/>
            </w:tcBorders>
            <w:shd w:val="clear" w:color="000000" w:fill="FFFFFF"/>
            <w:noWrap/>
            <w:vAlign w:val="center"/>
            <w:hideMark/>
          </w:tcPr>
          <w:p w14:paraId="16F7F527"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 </w:t>
            </w:r>
          </w:p>
        </w:tc>
      </w:tr>
      <w:tr w:rsidR="00C937B8" w:rsidRPr="0081325D" w14:paraId="30A19AD9" w14:textId="77777777" w:rsidTr="00382B43">
        <w:trPr>
          <w:trHeight w:val="384"/>
        </w:trPr>
        <w:tc>
          <w:tcPr>
            <w:tcW w:w="2193" w:type="pct"/>
            <w:tcBorders>
              <w:top w:val="nil"/>
              <w:left w:val="nil"/>
              <w:bottom w:val="nil"/>
              <w:right w:val="nil"/>
            </w:tcBorders>
            <w:shd w:val="clear" w:color="auto" w:fill="auto"/>
            <w:noWrap/>
            <w:vAlign w:val="center"/>
            <w:hideMark/>
          </w:tcPr>
          <w:p w14:paraId="17141099" w14:textId="77777777" w:rsidR="00C937B8" w:rsidRPr="0081325D" w:rsidRDefault="00C937B8" w:rsidP="00382B43">
            <w:pPr>
              <w:rPr>
                <w:rFonts w:ascii="Calibri" w:hAnsi="Calibri" w:cs="Calibri"/>
                <w:color w:val="000000"/>
                <w:lang w:eastAsia="en-GB"/>
              </w:rPr>
            </w:pPr>
            <w:r w:rsidRPr="0081325D">
              <w:rPr>
                <w:rFonts w:ascii="Calibri" w:hAnsi="Calibri" w:cs="Calibri"/>
                <w:color w:val="000000"/>
                <w:lang w:eastAsia="en-GB"/>
              </w:rPr>
              <w:t>Share capital</w:t>
            </w:r>
          </w:p>
        </w:tc>
        <w:tc>
          <w:tcPr>
            <w:tcW w:w="347" w:type="pct"/>
            <w:tcBorders>
              <w:top w:val="nil"/>
              <w:left w:val="nil"/>
              <w:bottom w:val="nil"/>
              <w:right w:val="nil"/>
            </w:tcBorders>
            <w:shd w:val="clear" w:color="auto" w:fill="auto"/>
            <w:noWrap/>
            <w:vAlign w:val="center"/>
            <w:hideMark/>
          </w:tcPr>
          <w:p w14:paraId="77CD6BF6" w14:textId="2E4B50F7" w:rsidR="00C937B8" w:rsidRPr="0081325D" w:rsidRDefault="00C937B8" w:rsidP="00382B43">
            <w:pPr>
              <w:jc w:val="center"/>
              <w:rPr>
                <w:rFonts w:ascii="Calibri (body)" w:hAnsi="Calibri (body)" w:cs="Calibri"/>
                <w:color w:val="000000"/>
                <w:lang w:eastAsia="en-GB"/>
              </w:rPr>
            </w:pPr>
          </w:p>
        </w:tc>
        <w:tc>
          <w:tcPr>
            <w:tcW w:w="1320" w:type="pct"/>
            <w:tcBorders>
              <w:top w:val="nil"/>
              <w:left w:val="nil"/>
              <w:bottom w:val="nil"/>
              <w:right w:val="nil"/>
            </w:tcBorders>
            <w:shd w:val="clear" w:color="000000" w:fill="FFFFFF"/>
            <w:noWrap/>
            <w:vAlign w:val="center"/>
            <w:hideMark/>
          </w:tcPr>
          <w:p w14:paraId="1EB3A6EB"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297</w:t>
            </w:r>
          </w:p>
        </w:tc>
        <w:tc>
          <w:tcPr>
            <w:tcW w:w="1140" w:type="pct"/>
            <w:tcBorders>
              <w:top w:val="nil"/>
              <w:left w:val="nil"/>
              <w:bottom w:val="nil"/>
              <w:right w:val="nil"/>
            </w:tcBorders>
            <w:shd w:val="clear" w:color="000000" w:fill="FFFFFF"/>
            <w:noWrap/>
            <w:vAlign w:val="center"/>
            <w:hideMark/>
          </w:tcPr>
          <w:p w14:paraId="6D17443C"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297</w:t>
            </w:r>
          </w:p>
        </w:tc>
      </w:tr>
      <w:tr w:rsidR="00C937B8" w:rsidRPr="0081325D" w14:paraId="4798ABA7" w14:textId="77777777" w:rsidTr="00382B43">
        <w:trPr>
          <w:trHeight w:val="384"/>
        </w:trPr>
        <w:tc>
          <w:tcPr>
            <w:tcW w:w="2193" w:type="pct"/>
            <w:tcBorders>
              <w:top w:val="nil"/>
              <w:left w:val="nil"/>
              <w:bottom w:val="nil"/>
              <w:right w:val="nil"/>
            </w:tcBorders>
            <w:shd w:val="clear" w:color="auto" w:fill="auto"/>
            <w:noWrap/>
            <w:vAlign w:val="center"/>
            <w:hideMark/>
          </w:tcPr>
          <w:p w14:paraId="42BE43C9" w14:textId="77777777" w:rsidR="00C937B8" w:rsidRPr="0081325D" w:rsidRDefault="00C937B8" w:rsidP="00382B43">
            <w:pPr>
              <w:rPr>
                <w:rFonts w:ascii="Calibri" w:hAnsi="Calibri" w:cs="Calibri"/>
                <w:color w:val="000000"/>
                <w:lang w:eastAsia="en-GB"/>
              </w:rPr>
            </w:pPr>
            <w:r w:rsidRPr="0081325D">
              <w:rPr>
                <w:rFonts w:ascii="Calibri" w:hAnsi="Calibri" w:cs="Calibri"/>
                <w:color w:val="000000"/>
                <w:lang w:eastAsia="en-GB"/>
              </w:rPr>
              <w:t>Share premium</w:t>
            </w:r>
          </w:p>
        </w:tc>
        <w:tc>
          <w:tcPr>
            <w:tcW w:w="347" w:type="pct"/>
            <w:tcBorders>
              <w:top w:val="nil"/>
              <w:left w:val="nil"/>
              <w:bottom w:val="nil"/>
              <w:right w:val="nil"/>
            </w:tcBorders>
            <w:shd w:val="clear" w:color="auto" w:fill="auto"/>
            <w:noWrap/>
            <w:vAlign w:val="center"/>
            <w:hideMark/>
          </w:tcPr>
          <w:p w14:paraId="183B3E67" w14:textId="54C16819" w:rsidR="00C937B8" w:rsidRPr="0081325D" w:rsidRDefault="00C937B8" w:rsidP="00382B43">
            <w:pPr>
              <w:jc w:val="center"/>
              <w:rPr>
                <w:rFonts w:ascii="Calibri (body)" w:hAnsi="Calibri (body)" w:cs="Calibri"/>
                <w:color w:val="000000"/>
                <w:lang w:eastAsia="en-GB"/>
              </w:rPr>
            </w:pPr>
          </w:p>
        </w:tc>
        <w:tc>
          <w:tcPr>
            <w:tcW w:w="1320" w:type="pct"/>
            <w:tcBorders>
              <w:top w:val="nil"/>
              <w:left w:val="nil"/>
              <w:bottom w:val="nil"/>
              <w:right w:val="nil"/>
            </w:tcBorders>
            <w:shd w:val="clear" w:color="000000" w:fill="FFFFFF"/>
            <w:noWrap/>
            <w:vAlign w:val="center"/>
            <w:hideMark/>
          </w:tcPr>
          <w:p w14:paraId="33D5BABA"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2,810</w:t>
            </w:r>
          </w:p>
        </w:tc>
        <w:tc>
          <w:tcPr>
            <w:tcW w:w="1140" w:type="pct"/>
            <w:tcBorders>
              <w:top w:val="nil"/>
              <w:left w:val="nil"/>
              <w:bottom w:val="nil"/>
              <w:right w:val="nil"/>
            </w:tcBorders>
            <w:shd w:val="clear" w:color="000000" w:fill="FFFFFF"/>
            <w:noWrap/>
            <w:vAlign w:val="center"/>
            <w:hideMark/>
          </w:tcPr>
          <w:p w14:paraId="29694C16"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2,810</w:t>
            </w:r>
          </w:p>
        </w:tc>
      </w:tr>
      <w:tr w:rsidR="00C937B8" w:rsidRPr="0081325D" w14:paraId="71A876E4" w14:textId="77777777" w:rsidTr="00382B43">
        <w:trPr>
          <w:trHeight w:val="384"/>
        </w:trPr>
        <w:tc>
          <w:tcPr>
            <w:tcW w:w="2193" w:type="pct"/>
            <w:tcBorders>
              <w:top w:val="nil"/>
              <w:left w:val="nil"/>
              <w:bottom w:val="nil"/>
              <w:right w:val="nil"/>
            </w:tcBorders>
            <w:shd w:val="clear" w:color="auto" w:fill="auto"/>
            <w:noWrap/>
            <w:vAlign w:val="center"/>
            <w:hideMark/>
          </w:tcPr>
          <w:p w14:paraId="46FE0055" w14:textId="77777777" w:rsidR="00C937B8" w:rsidRPr="0081325D" w:rsidRDefault="00C937B8" w:rsidP="00382B43">
            <w:pPr>
              <w:rPr>
                <w:rFonts w:ascii="Calibri" w:hAnsi="Calibri" w:cs="Calibri"/>
                <w:color w:val="000000"/>
                <w:lang w:eastAsia="en-GB"/>
              </w:rPr>
            </w:pPr>
            <w:r w:rsidRPr="0081325D">
              <w:rPr>
                <w:rFonts w:ascii="Calibri" w:hAnsi="Calibri" w:cs="Calibri"/>
                <w:color w:val="000000"/>
                <w:lang w:eastAsia="en-GB"/>
              </w:rPr>
              <w:t>Share based payment reserve</w:t>
            </w:r>
          </w:p>
        </w:tc>
        <w:tc>
          <w:tcPr>
            <w:tcW w:w="347" w:type="pct"/>
            <w:tcBorders>
              <w:top w:val="nil"/>
              <w:left w:val="nil"/>
              <w:bottom w:val="nil"/>
              <w:right w:val="nil"/>
            </w:tcBorders>
            <w:shd w:val="clear" w:color="auto" w:fill="auto"/>
            <w:noWrap/>
            <w:vAlign w:val="center"/>
            <w:hideMark/>
          </w:tcPr>
          <w:p w14:paraId="195F8E7A" w14:textId="2CFDBEC0" w:rsidR="00C937B8" w:rsidRPr="0081325D" w:rsidRDefault="00C937B8" w:rsidP="00382B43">
            <w:pPr>
              <w:jc w:val="center"/>
              <w:rPr>
                <w:rFonts w:ascii="Calibri (body)" w:hAnsi="Calibri (body)" w:cs="Calibri"/>
                <w:color w:val="000000"/>
                <w:lang w:eastAsia="en-GB"/>
              </w:rPr>
            </w:pPr>
          </w:p>
        </w:tc>
        <w:tc>
          <w:tcPr>
            <w:tcW w:w="1320" w:type="pct"/>
            <w:tcBorders>
              <w:top w:val="nil"/>
              <w:left w:val="nil"/>
              <w:bottom w:val="nil"/>
              <w:right w:val="nil"/>
            </w:tcBorders>
            <w:shd w:val="clear" w:color="000000" w:fill="FFFFFF"/>
            <w:noWrap/>
            <w:vAlign w:val="center"/>
            <w:hideMark/>
          </w:tcPr>
          <w:p w14:paraId="01E9B0BF"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575</w:t>
            </w:r>
          </w:p>
        </w:tc>
        <w:tc>
          <w:tcPr>
            <w:tcW w:w="1140" w:type="pct"/>
            <w:tcBorders>
              <w:top w:val="nil"/>
              <w:left w:val="nil"/>
              <w:bottom w:val="nil"/>
              <w:right w:val="nil"/>
            </w:tcBorders>
            <w:shd w:val="clear" w:color="000000" w:fill="FFFFFF"/>
            <w:noWrap/>
            <w:vAlign w:val="center"/>
            <w:hideMark/>
          </w:tcPr>
          <w:p w14:paraId="7D2E3B5E"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575</w:t>
            </w:r>
          </w:p>
        </w:tc>
      </w:tr>
      <w:tr w:rsidR="00C937B8" w:rsidRPr="0081325D" w14:paraId="3D307E3C" w14:textId="77777777" w:rsidTr="00382B43">
        <w:trPr>
          <w:trHeight w:val="384"/>
        </w:trPr>
        <w:tc>
          <w:tcPr>
            <w:tcW w:w="2193" w:type="pct"/>
            <w:tcBorders>
              <w:top w:val="nil"/>
              <w:left w:val="nil"/>
              <w:bottom w:val="nil"/>
              <w:right w:val="nil"/>
            </w:tcBorders>
            <w:shd w:val="clear" w:color="auto" w:fill="auto"/>
            <w:noWrap/>
            <w:vAlign w:val="center"/>
            <w:hideMark/>
          </w:tcPr>
          <w:p w14:paraId="66E5EF67" w14:textId="77777777" w:rsidR="00C937B8" w:rsidRPr="0081325D" w:rsidRDefault="00C937B8" w:rsidP="00382B43">
            <w:pPr>
              <w:rPr>
                <w:rFonts w:ascii="Calibri" w:hAnsi="Calibri" w:cs="Calibri"/>
                <w:color w:val="000000"/>
                <w:lang w:eastAsia="en-GB"/>
              </w:rPr>
            </w:pPr>
            <w:r w:rsidRPr="0081325D">
              <w:rPr>
                <w:rFonts w:ascii="Calibri" w:hAnsi="Calibri" w:cs="Calibri"/>
                <w:color w:val="000000"/>
                <w:lang w:eastAsia="en-GB"/>
              </w:rPr>
              <w:t>Fair value reserve</w:t>
            </w:r>
          </w:p>
        </w:tc>
        <w:tc>
          <w:tcPr>
            <w:tcW w:w="347" w:type="pct"/>
            <w:tcBorders>
              <w:top w:val="nil"/>
              <w:left w:val="nil"/>
              <w:bottom w:val="nil"/>
              <w:right w:val="nil"/>
            </w:tcBorders>
            <w:shd w:val="clear" w:color="auto" w:fill="auto"/>
            <w:noWrap/>
            <w:vAlign w:val="center"/>
            <w:hideMark/>
          </w:tcPr>
          <w:p w14:paraId="1E1E35E3" w14:textId="1651E075" w:rsidR="00C937B8" w:rsidRPr="0081325D" w:rsidRDefault="00C937B8" w:rsidP="00382B43">
            <w:pPr>
              <w:jc w:val="center"/>
              <w:rPr>
                <w:rFonts w:ascii="Calibri (body)" w:hAnsi="Calibri (body)" w:cs="Calibri"/>
                <w:color w:val="000000"/>
                <w:lang w:eastAsia="en-GB"/>
              </w:rPr>
            </w:pPr>
          </w:p>
        </w:tc>
        <w:tc>
          <w:tcPr>
            <w:tcW w:w="1320" w:type="pct"/>
            <w:tcBorders>
              <w:top w:val="nil"/>
              <w:left w:val="nil"/>
              <w:bottom w:val="nil"/>
              <w:right w:val="nil"/>
            </w:tcBorders>
            <w:shd w:val="clear" w:color="000000" w:fill="FFFFFF"/>
            <w:noWrap/>
            <w:vAlign w:val="center"/>
            <w:hideMark/>
          </w:tcPr>
          <w:p w14:paraId="0805F56C"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2</w:t>
            </w:r>
          </w:p>
        </w:tc>
        <w:tc>
          <w:tcPr>
            <w:tcW w:w="1140" w:type="pct"/>
            <w:tcBorders>
              <w:top w:val="nil"/>
              <w:left w:val="nil"/>
              <w:bottom w:val="nil"/>
              <w:right w:val="nil"/>
            </w:tcBorders>
            <w:shd w:val="clear" w:color="000000" w:fill="FFFFFF"/>
            <w:noWrap/>
            <w:vAlign w:val="center"/>
            <w:hideMark/>
          </w:tcPr>
          <w:p w14:paraId="67A4ED4D" w14:textId="77777777" w:rsidR="00C937B8" w:rsidRPr="0081325D" w:rsidRDefault="00C937B8" w:rsidP="00382B43">
            <w:pPr>
              <w:jc w:val="right"/>
              <w:rPr>
                <w:rFonts w:ascii="Calibri" w:hAnsi="Calibri" w:cs="Calibri"/>
                <w:lang w:eastAsia="en-GB"/>
              </w:rPr>
            </w:pPr>
            <w:r w:rsidRPr="0081325D">
              <w:rPr>
                <w:rFonts w:ascii="Calibri" w:hAnsi="Calibri" w:cs="Calibri"/>
                <w:lang w:eastAsia="en-GB"/>
              </w:rPr>
              <w:t>-</w:t>
            </w:r>
          </w:p>
        </w:tc>
      </w:tr>
      <w:tr w:rsidR="00C937B8" w:rsidRPr="0081325D" w14:paraId="23DF38CB" w14:textId="77777777" w:rsidTr="00382B43">
        <w:trPr>
          <w:trHeight w:val="384"/>
        </w:trPr>
        <w:tc>
          <w:tcPr>
            <w:tcW w:w="2193" w:type="pct"/>
            <w:tcBorders>
              <w:top w:val="nil"/>
              <w:left w:val="nil"/>
              <w:bottom w:val="nil"/>
              <w:right w:val="nil"/>
            </w:tcBorders>
            <w:shd w:val="clear" w:color="auto" w:fill="auto"/>
            <w:noWrap/>
            <w:vAlign w:val="center"/>
            <w:hideMark/>
          </w:tcPr>
          <w:p w14:paraId="0867A6C8" w14:textId="77777777" w:rsidR="00C937B8" w:rsidRPr="0081325D" w:rsidRDefault="00C937B8" w:rsidP="00382B43">
            <w:pPr>
              <w:rPr>
                <w:rFonts w:ascii="Calibri" w:hAnsi="Calibri" w:cs="Calibri"/>
                <w:color w:val="000000"/>
                <w:lang w:eastAsia="en-GB"/>
              </w:rPr>
            </w:pPr>
            <w:r w:rsidRPr="0081325D">
              <w:rPr>
                <w:rFonts w:ascii="Calibri" w:hAnsi="Calibri" w:cs="Calibri"/>
                <w:color w:val="000000"/>
                <w:lang w:eastAsia="en-GB"/>
              </w:rPr>
              <w:t>Retained earnings</w:t>
            </w:r>
          </w:p>
        </w:tc>
        <w:tc>
          <w:tcPr>
            <w:tcW w:w="347" w:type="pct"/>
            <w:tcBorders>
              <w:top w:val="nil"/>
              <w:left w:val="nil"/>
              <w:bottom w:val="nil"/>
              <w:right w:val="nil"/>
            </w:tcBorders>
            <w:shd w:val="clear" w:color="auto" w:fill="auto"/>
            <w:noWrap/>
            <w:vAlign w:val="center"/>
            <w:hideMark/>
          </w:tcPr>
          <w:p w14:paraId="0B75F81D" w14:textId="77777777" w:rsidR="00C937B8" w:rsidRPr="0081325D" w:rsidRDefault="00C937B8" w:rsidP="00382B43">
            <w:pPr>
              <w:rPr>
                <w:rFonts w:ascii="Calibri" w:hAnsi="Calibri" w:cs="Calibri"/>
                <w:color w:val="000000"/>
                <w:lang w:eastAsia="en-GB"/>
              </w:rPr>
            </w:pPr>
          </w:p>
        </w:tc>
        <w:tc>
          <w:tcPr>
            <w:tcW w:w="1320" w:type="pct"/>
            <w:tcBorders>
              <w:top w:val="nil"/>
              <w:left w:val="nil"/>
              <w:bottom w:val="nil"/>
              <w:right w:val="nil"/>
            </w:tcBorders>
            <w:shd w:val="clear" w:color="000000" w:fill="FFFFFF"/>
            <w:noWrap/>
            <w:vAlign w:val="center"/>
            <w:hideMark/>
          </w:tcPr>
          <w:p w14:paraId="47BC1F84" w14:textId="77777777" w:rsidR="00C937B8" w:rsidRPr="0081325D" w:rsidRDefault="00C937B8" w:rsidP="00382B43">
            <w:pPr>
              <w:jc w:val="right"/>
              <w:rPr>
                <w:rFonts w:ascii="Calibri" w:hAnsi="Calibri" w:cs="Calibri"/>
                <w:lang w:eastAsia="en-GB"/>
              </w:rPr>
            </w:pPr>
            <w:r w:rsidRPr="0081325D">
              <w:rPr>
                <w:rFonts w:ascii="Calibri" w:hAnsi="Calibri" w:cs="Calibri"/>
                <w:color w:val="000000"/>
                <w:lang w:eastAsia="en-GB"/>
              </w:rPr>
              <w:t>(2,275)</w:t>
            </w:r>
          </w:p>
        </w:tc>
        <w:tc>
          <w:tcPr>
            <w:tcW w:w="1140" w:type="pct"/>
            <w:tcBorders>
              <w:top w:val="nil"/>
              <w:left w:val="nil"/>
              <w:bottom w:val="nil"/>
              <w:right w:val="nil"/>
            </w:tcBorders>
            <w:shd w:val="clear" w:color="000000" w:fill="FFFFFF"/>
            <w:noWrap/>
            <w:vAlign w:val="center"/>
            <w:hideMark/>
          </w:tcPr>
          <w:p w14:paraId="1711E086" w14:textId="77777777" w:rsidR="00C937B8" w:rsidRPr="0081325D" w:rsidRDefault="00C937B8" w:rsidP="00382B43">
            <w:pPr>
              <w:jc w:val="right"/>
              <w:rPr>
                <w:rFonts w:ascii="Calibri" w:hAnsi="Calibri" w:cs="Calibri"/>
                <w:lang w:eastAsia="en-GB"/>
              </w:rPr>
            </w:pPr>
            <w:r w:rsidRPr="0081325D">
              <w:rPr>
                <w:rFonts w:ascii="Calibri" w:hAnsi="Calibri" w:cs="Calibri"/>
                <w:color w:val="000000"/>
                <w:lang w:eastAsia="en-GB"/>
              </w:rPr>
              <w:t>(1,269)</w:t>
            </w:r>
          </w:p>
        </w:tc>
      </w:tr>
      <w:tr w:rsidR="00C937B8" w:rsidRPr="0081325D" w14:paraId="304F8744" w14:textId="77777777" w:rsidTr="00382B43">
        <w:trPr>
          <w:trHeight w:val="384"/>
        </w:trPr>
        <w:tc>
          <w:tcPr>
            <w:tcW w:w="2193" w:type="pct"/>
            <w:tcBorders>
              <w:top w:val="single" w:sz="4" w:space="0" w:color="auto"/>
              <w:left w:val="nil"/>
              <w:bottom w:val="single" w:sz="4" w:space="0" w:color="auto"/>
              <w:right w:val="nil"/>
            </w:tcBorders>
            <w:shd w:val="clear" w:color="auto" w:fill="auto"/>
            <w:noWrap/>
            <w:vAlign w:val="center"/>
            <w:hideMark/>
          </w:tcPr>
          <w:p w14:paraId="45927B7E" w14:textId="77777777" w:rsidR="00C937B8" w:rsidRPr="0081325D" w:rsidRDefault="00C937B8" w:rsidP="00382B43">
            <w:pPr>
              <w:rPr>
                <w:rFonts w:ascii="Calibri" w:hAnsi="Calibri" w:cs="Calibri"/>
                <w:b/>
                <w:bCs/>
                <w:color w:val="000000"/>
                <w:lang w:eastAsia="en-GB"/>
              </w:rPr>
            </w:pPr>
            <w:r w:rsidRPr="0081325D">
              <w:rPr>
                <w:rFonts w:ascii="Calibri" w:hAnsi="Calibri" w:cs="Calibri"/>
                <w:b/>
                <w:bCs/>
                <w:color w:val="000000"/>
                <w:lang w:eastAsia="en-GB"/>
              </w:rPr>
              <w:t>TOTAL EQUITY</w:t>
            </w:r>
          </w:p>
        </w:tc>
        <w:tc>
          <w:tcPr>
            <w:tcW w:w="347" w:type="pct"/>
            <w:tcBorders>
              <w:top w:val="single" w:sz="4" w:space="0" w:color="auto"/>
              <w:left w:val="nil"/>
              <w:bottom w:val="single" w:sz="4" w:space="0" w:color="auto"/>
              <w:right w:val="nil"/>
            </w:tcBorders>
            <w:shd w:val="clear" w:color="auto" w:fill="auto"/>
            <w:noWrap/>
            <w:vAlign w:val="center"/>
            <w:hideMark/>
          </w:tcPr>
          <w:p w14:paraId="1F987002" w14:textId="77777777" w:rsidR="00C937B8" w:rsidRPr="0081325D" w:rsidRDefault="00C937B8" w:rsidP="00382B43">
            <w:pPr>
              <w:jc w:val="center"/>
              <w:rPr>
                <w:rFonts w:ascii="Calibri (body)" w:hAnsi="Calibri (body)" w:cs="Calibri"/>
                <w:color w:val="000000"/>
                <w:lang w:eastAsia="en-GB"/>
              </w:rPr>
            </w:pPr>
            <w:r w:rsidRPr="0081325D">
              <w:rPr>
                <w:rFonts w:ascii="Calibri (body)" w:hAnsi="Calibri (body)" w:cs="Calibri"/>
                <w:color w:val="000000"/>
                <w:lang w:eastAsia="en-GB"/>
              </w:rPr>
              <w:t> </w:t>
            </w:r>
          </w:p>
        </w:tc>
        <w:tc>
          <w:tcPr>
            <w:tcW w:w="1320" w:type="pct"/>
            <w:tcBorders>
              <w:top w:val="single" w:sz="4" w:space="0" w:color="auto"/>
              <w:left w:val="nil"/>
              <w:bottom w:val="single" w:sz="4" w:space="0" w:color="auto"/>
              <w:right w:val="nil"/>
            </w:tcBorders>
            <w:shd w:val="clear" w:color="000000" w:fill="FFFFFF"/>
            <w:noWrap/>
            <w:vAlign w:val="center"/>
            <w:hideMark/>
          </w:tcPr>
          <w:p w14:paraId="360DD165"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1,409</w:t>
            </w:r>
          </w:p>
        </w:tc>
        <w:tc>
          <w:tcPr>
            <w:tcW w:w="1140" w:type="pct"/>
            <w:tcBorders>
              <w:top w:val="single" w:sz="4" w:space="0" w:color="auto"/>
              <w:left w:val="nil"/>
              <w:bottom w:val="single" w:sz="4" w:space="0" w:color="auto"/>
              <w:right w:val="nil"/>
            </w:tcBorders>
            <w:shd w:val="clear" w:color="000000" w:fill="FFFFFF"/>
            <w:noWrap/>
            <w:vAlign w:val="center"/>
            <w:hideMark/>
          </w:tcPr>
          <w:p w14:paraId="4B26F345" w14:textId="77777777" w:rsidR="00C937B8" w:rsidRPr="0081325D" w:rsidRDefault="00C937B8" w:rsidP="00382B43">
            <w:pPr>
              <w:jc w:val="right"/>
              <w:rPr>
                <w:rFonts w:ascii="Calibri" w:hAnsi="Calibri" w:cs="Calibri"/>
                <w:b/>
                <w:bCs/>
                <w:lang w:eastAsia="en-GB"/>
              </w:rPr>
            </w:pPr>
            <w:r w:rsidRPr="0081325D">
              <w:rPr>
                <w:rFonts w:ascii="Calibri" w:hAnsi="Calibri" w:cs="Calibri"/>
                <w:b/>
                <w:bCs/>
                <w:lang w:eastAsia="en-GB"/>
              </w:rPr>
              <w:t>2,413</w:t>
            </w:r>
          </w:p>
        </w:tc>
      </w:tr>
    </w:tbl>
    <w:p w14:paraId="2B11D06F" w14:textId="3B364408" w:rsidR="008D46A2" w:rsidRDefault="008D46A2" w:rsidP="00BC5427">
      <w:pPr>
        <w:pStyle w:val="Heading1"/>
        <w:spacing w:before="80"/>
        <w:ind w:left="0" w:right="4171"/>
        <w:rPr>
          <w:sz w:val="19"/>
          <w:lang w:val="en-GB"/>
        </w:rPr>
      </w:pPr>
    </w:p>
    <w:tbl>
      <w:tblPr>
        <w:tblpPr w:leftFromText="180" w:rightFromText="180" w:vertAnchor="text" w:tblpY="-69"/>
        <w:tblW w:w="5025" w:type="pct"/>
        <w:tblLook w:val="04A0" w:firstRow="1" w:lastRow="0" w:firstColumn="1" w:lastColumn="0" w:noHBand="0" w:noVBand="1"/>
      </w:tblPr>
      <w:tblGrid>
        <w:gridCol w:w="3621"/>
        <w:gridCol w:w="906"/>
        <w:gridCol w:w="1053"/>
        <w:gridCol w:w="1031"/>
        <w:gridCol w:w="897"/>
        <w:gridCol w:w="1037"/>
        <w:gridCol w:w="872"/>
      </w:tblGrid>
      <w:tr w:rsidR="00B10372" w:rsidRPr="0081325D" w14:paraId="108454B1" w14:textId="77777777" w:rsidTr="00382B43">
        <w:trPr>
          <w:trHeight w:val="1395"/>
        </w:trPr>
        <w:tc>
          <w:tcPr>
            <w:tcW w:w="1885" w:type="pct"/>
            <w:tcBorders>
              <w:top w:val="nil"/>
              <w:left w:val="nil"/>
              <w:bottom w:val="nil"/>
              <w:right w:val="nil"/>
            </w:tcBorders>
            <w:shd w:val="clear" w:color="auto" w:fill="auto"/>
            <w:noWrap/>
            <w:vAlign w:val="center"/>
            <w:hideMark/>
          </w:tcPr>
          <w:p w14:paraId="3D5484A2" w14:textId="77777777" w:rsidR="00B10372" w:rsidRPr="0081325D" w:rsidRDefault="00B10372" w:rsidP="00382B43">
            <w:pPr>
              <w:rPr>
                <w:sz w:val="24"/>
                <w:szCs w:val="24"/>
                <w:lang w:eastAsia="en-GB"/>
              </w:rPr>
            </w:pPr>
          </w:p>
        </w:tc>
        <w:tc>
          <w:tcPr>
            <w:tcW w:w="519" w:type="pct"/>
            <w:tcBorders>
              <w:top w:val="nil"/>
              <w:left w:val="nil"/>
              <w:bottom w:val="nil"/>
              <w:right w:val="nil"/>
            </w:tcBorders>
            <w:shd w:val="clear" w:color="auto" w:fill="auto"/>
            <w:vAlign w:val="bottom"/>
            <w:hideMark/>
          </w:tcPr>
          <w:p w14:paraId="6E7105ED" w14:textId="77777777" w:rsidR="00B10372" w:rsidRPr="0081325D" w:rsidRDefault="00B10372" w:rsidP="00382B43">
            <w:pPr>
              <w:jc w:val="center"/>
              <w:rPr>
                <w:rFonts w:ascii="Calibri" w:hAnsi="Calibri" w:cs="Calibri"/>
                <w:b/>
                <w:bCs/>
                <w:color w:val="000000"/>
                <w:lang w:eastAsia="en-GB"/>
              </w:rPr>
            </w:pPr>
            <w:r w:rsidRPr="0081325D">
              <w:rPr>
                <w:rFonts w:ascii="Calibri" w:hAnsi="Calibri" w:cs="Calibri"/>
                <w:b/>
                <w:bCs/>
                <w:color w:val="000000"/>
                <w:lang w:eastAsia="en-GB"/>
              </w:rPr>
              <w:t xml:space="preserve">Share Capital </w:t>
            </w:r>
            <w:r w:rsidRPr="0081325D">
              <w:rPr>
                <w:rFonts w:ascii="Calibri" w:hAnsi="Calibri" w:cs="Calibri"/>
                <w:b/>
                <w:bCs/>
                <w:color w:val="000000"/>
                <w:lang w:eastAsia="en-GB"/>
              </w:rPr>
              <w:br/>
              <w:t>£'000</w:t>
            </w:r>
          </w:p>
        </w:tc>
        <w:tc>
          <w:tcPr>
            <w:tcW w:w="547" w:type="pct"/>
            <w:tcBorders>
              <w:top w:val="nil"/>
              <w:left w:val="nil"/>
              <w:bottom w:val="nil"/>
              <w:right w:val="nil"/>
            </w:tcBorders>
            <w:shd w:val="clear" w:color="auto" w:fill="auto"/>
            <w:vAlign w:val="bottom"/>
            <w:hideMark/>
          </w:tcPr>
          <w:p w14:paraId="00FD5574" w14:textId="77777777" w:rsidR="00B10372" w:rsidRPr="0081325D" w:rsidRDefault="00B10372" w:rsidP="00382B43">
            <w:pPr>
              <w:jc w:val="center"/>
              <w:rPr>
                <w:rFonts w:ascii="Calibri" w:hAnsi="Calibri" w:cs="Calibri"/>
                <w:b/>
                <w:bCs/>
                <w:color w:val="000000"/>
                <w:lang w:eastAsia="en-GB"/>
              </w:rPr>
            </w:pPr>
            <w:r w:rsidRPr="0081325D">
              <w:rPr>
                <w:rFonts w:ascii="Calibri" w:hAnsi="Calibri" w:cs="Calibri"/>
                <w:b/>
                <w:bCs/>
                <w:color w:val="000000"/>
                <w:lang w:eastAsia="en-GB"/>
              </w:rPr>
              <w:t>Share Premium</w:t>
            </w:r>
            <w:r w:rsidRPr="0081325D">
              <w:rPr>
                <w:rFonts w:ascii="Calibri" w:hAnsi="Calibri" w:cs="Calibri"/>
                <w:b/>
                <w:bCs/>
                <w:color w:val="000000"/>
                <w:lang w:eastAsia="en-GB"/>
              </w:rPr>
              <w:br/>
              <w:t>£'000</w:t>
            </w:r>
          </w:p>
        </w:tc>
        <w:tc>
          <w:tcPr>
            <w:tcW w:w="536" w:type="pct"/>
            <w:tcBorders>
              <w:top w:val="nil"/>
              <w:left w:val="nil"/>
              <w:bottom w:val="nil"/>
              <w:right w:val="nil"/>
            </w:tcBorders>
            <w:shd w:val="clear" w:color="auto" w:fill="auto"/>
            <w:vAlign w:val="bottom"/>
            <w:hideMark/>
          </w:tcPr>
          <w:p w14:paraId="11C3FC77" w14:textId="77777777" w:rsidR="00B10372" w:rsidRPr="0081325D" w:rsidRDefault="00B10372" w:rsidP="00382B43">
            <w:pPr>
              <w:jc w:val="center"/>
              <w:rPr>
                <w:rFonts w:ascii="Calibri" w:hAnsi="Calibri" w:cs="Calibri"/>
                <w:b/>
                <w:bCs/>
                <w:color w:val="000000"/>
                <w:lang w:eastAsia="en-GB"/>
              </w:rPr>
            </w:pPr>
            <w:r w:rsidRPr="0081325D">
              <w:rPr>
                <w:rFonts w:ascii="Calibri" w:hAnsi="Calibri" w:cs="Calibri"/>
                <w:b/>
                <w:bCs/>
                <w:color w:val="000000"/>
                <w:lang w:eastAsia="en-GB"/>
              </w:rPr>
              <w:t>Share based payment reserve</w:t>
            </w:r>
            <w:r w:rsidRPr="0081325D">
              <w:rPr>
                <w:rFonts w:ascii="Calibri" w:hAnsi="Calibri" w:cs="Calibri"/>
                <w:b/>
                <w:bCs/>
                <w:color w:val="000000"/>
                <w:lang w:eastAsia="en-GB"/>
              </w:rPr>
              <w:br/>
              <w:t>£'000</w:t>
            </w:r>
          </w:p>
        </w:tc>
        <w:tc>
          <w:tcPr>
            <w:tcW w:w="474" w:type="pct"/>
            <w:tcBorders>
              <w:top w:val="nil"/>
              <w:left w:val="nil"/>
              <w:bottom w:val="nil"/>
              <w:right w:val="nil"/>
            </w:tcBorders>
            <w:shd w:val="clear" w:color="auto" w:fill="auto"/>
            <w:vAlign w:val="bottom"/>
            <w:hideMark/>
          </w:tcPr>
          <w:p w14:paraId="26B912FC" w14:textId="77777777" w:rsidR="00B10372" w:rsidRPr="0081325D" w:rsidRDefault="00B10372" w:rsidP="00382B43">
            <w:pPr>
              <w:jc w:val="center"/>
              <w:rPr>
                <w:rFonts w:ascii="Calibri" w:hAnsi="Calibri" w:cs="Calibri"/>
                <w:b/>
                <w:bCs/>
                <w:color w:val="000000"/>
                <w:lang w:eastAsia="en-GB"/>
              </w:rPr>
            </w:pPr>
            <w:r w:rsidRPr="0081325D">
              <w:rPr>
                <w:rFonts w:ascii="Calibri" w:hAnsi="Calibri" w:cs="Calibri"/>
                <w:b/>
                <w:bCs/>
                <w:color w:val="000000"/>
                <w:lang w:eastAsia="en-GB"/>
              </w:rPr>
              <w:t>Fair value reserve</w:t>
            </w:r>
            <w:r w:rsidRPr="0081325D">
              <w:rPr>
                <w:rFonts w:ascii="Calibri" w:hAnsi="Calibri" w:cs="Calibri"/>
                <w:b/>
                <w:bCs/>
                <w:color w:val="000000"/>
                <w:lang w:eastAsia="en-GB"/>
              </w:rPr>
              <w:br/>
              <w:t>£'000</w:t>
            </w:r>
          </w:p>
        </w:tc>
        <w:tc>
          <w:tcPr>
            <w:tcW w:w="539" w:type="pct"/>
            <w:tcBorders>
              <w:top w:val="nil"/>
              <w:left w:val="nil"/>
              <w:bottom w:val="nil"/>
              <w:right w:val="nil"/>
            </w:tcBorders>
            <w:shd w:val="clear" w:color="auto" w:fill="auto"/>
            <w:vAlign w:val="bottom"/>
            <w:hideMark/>
          </w:tcPr>
          <w:p w14:paraId="251A23E7" w14:textId="77777777" w:rsidR="00B10372" w:rsidRPr="0081325D" w:rsidRDefault="00B10372" w:rsidP="00382B43">
            <w:pPr>
              <w:jc w:val="center"/>
              <w:rPr>
                <w:rFonts w:ascii="Calibri" w:hAnsi="Calibri" w:cs="Calibri"/>
                <w:b/>
                <w:bCs/>
                <w:color w:val="000000"/>
                <w:lang w:eastAsia="en-GB"/>
              </w:rPr>
            </w:pPr>
            <w:r w:rsidRPr="0081325D">
              <w:rPr>
                <w:rFonts w:ascii="Calibri" w:hAnsi="Calibri" w:cs="Calibri"/>
                <w:b/>
                <w:bCs/>
                <w:color w:val="000000"/>
                <w:lang w:eastAsia="en-GB"/>
              </w:rPr>
              <w:t>Retained Earnings</w:t>
            </w:r>
            <w:r w:rsidRPr="0081325D">
              <w:rPr>
                <w:rFonts w:ascii="Calibri" w:hAnsi="Calibri" w:cs="Calibri"/>
                <w:b/>
                <w:bCs/>
                <w:color w:val="000000"/>
                <w:lang w:eastAsia="en-GB"/>
              </w:rPr>
              <w:br/>
              <w:t>£'000</w:t>
            </w:r>
          </w:p>
        </w:tc>
        <w:tc>
          <w:tcPr>
            <w:tcW w:w="501" w:type="pct"/>
            <w:tcBorders>
              <w:top w:val="nil"/>
              <w:left w:val="nil"/>
              <w:bottom w:val="nil"/>
              <w:right w:val="nil"/>
            </w:tcBorders>
            <w:shd w:val="clear" w:color="auto" w:fill="auto"/>
            <w:vAlign w:val="bottom"/>
            <w:hideMark/>
          </w:tcPr>
          <w:p w14:paraId="76E028A6" w14:textId="77777777" w:rsidR="00B10372" w:rsidRPr="0081325D" w:rsidRDefault="00B10372" w:rsidP="00382B43">
            <w:pPr>
              <w:jc w:val="center"/>
              <w:rPr>
                <w:rFonts w:ascii="Calibri" w:hAnsi="Calibri" w:cs="Calibri"/>
                <w:b/>
                <w:bCs/>
                <w:color w:val="000000"/>
                <w:lang w:eastAsia="en-GB"/>
              </w:rPr>
            </w:pPr>
            <w:r w:rsidRPr="0081325D">
              <w:rPr>
                <w:rFonts w:ascii="Calibri" w:hAnsi="Calibri" w:cs="Calibri"/>
                <w:b/>
                <w:bCs/>
                <w:color w:val="000000"/>
                <w:lang w:eastAsia="en-GB"/>
              </w:rPr>
              <w:t xml:space="preserve">Total Equity </w:t>
            </w:r>
            <w:r w:rsidRPr="0081325D">
              <w:rPr>
                <w:rFonts w:ascii="Calibri" w:hAnsi="Calibri" w:cs="Calibri"/>
                <w:b/>
                <w:bCs/>
                <w:color w:val="000000"/>
                <w:lang w:eastAsia="en-GB"/>
              </w:rPr>
              <w:br/>
              <w:t>£'000</w:t>
            </w:r>
          </w:p>
        </w:tc>
      </w:tr>
      <w:tr w:rsidR="00B10372" w:rsidRPr="0081325D" w14:paraId="214C440C" w14:textId="77777777" w:rsidTr="00382B43">
        <w:trPr>
          <w:trHeight w:val="418"/>
        </w:trPr>
        <w:tc>
          <w:tcPr>
            <w:tcW w:w="1885" w:type="pct"/>
            <w:tcBorders>
              <w:top w:val="single" w:sz="4" w:space="0" w:color="auto"/>
              <w:left w:val="nil"/>
              <w:bottom w:val="single" w:sz="4" w:space="0" w:color="auto"/>
              <w:right w:val="nil"/>
            </w:tcBorders>
            <w:shd w:val="clear" w:color="auto" w:fill="auto"/>
            <w:noWrap/>
            <w:vAlign w:val="center"/>
            <w:hideMark/>
          </w:tcPr>
          <w:p w14:paraId="3FB1C738" w14:textId="77777777" w:rsidR="00B10372" w:rsidRPr="0081325D" w:rsidRDefault="00B10372" w:rsidP="00382B43">
            <w:pPr>
              <w:rPr>
                <w:rFonts w:ascii="Calibri" w:hAnsi="Calibri" w:cs="Calibri"/>
                <w:b/>
                <w:bCs/>
                <w:color w:val="000000"/>
                <w:lang w:eastAsia="en-GB"/>
              </w:rPr>
            </w:pPr>
            <w:r w:rsidRPr="0081325D">
              <w:rPr>
                <w:rFonts w:ascii="Calibri" w:hAnsi="Calibri" w:cs="Calibri"/>
                <w:b/>
                <w:bCs/>
                <w:color w:val="000000"/>
                <w:lang w:eastAsia="en-GB"/>
              </w:rPr>
              <w:t xml:space="preserve">Balance </w:t>
            </w:r>
            <w:proofErr w:type="gramStart"/>
            <w:r w:rsidRPr="0081325D">
              <w:rPr>
                <w:rFonts w:ascii="Calibri" w:hAnsi="Calibri" w:cs="Calibri"/>
                <w:b/>
                <w:bCs/>
                <w:color w:val="000000"/>
                <w:lang w:eastAsia="en-GB"/>
              </w:rPr>
              <w:t>at</w:t>
            </w:r>
            <w:proofErr w:type="gramEnd"/>
            <w:r w:rsidRPr="0081325D">
              <w:rPr>
                <w:rFonts w:ascii="Calibri" w:hAnsi="Calibri" w:cs="Calibri"/>
                <w:b/>
                <w:bCs/>
                <w:color w:val="000000"/>
                <w:lang w:eastAsia="en-GB"/>
              </w:rPr>
              <w:t xml:space="preserve"> 30 November 2020</w:t>
            </w:r>
          </w:p>
        </w:tc>
        <w:tc>
          <w:tcPr>
            <w:tcW w:w="519" w:type="pct"/>
            <w:tcBorders>
              <w:top w:val="single" w:sz="4" w:space="0" w:color="auto"/>
              <w:left w:val="nil"/>
              <w:bottom w:val="single" w:sz="4" w:space="0" w:color="auto"/>
              <w:right w:val="nil"/>
            </w:tcBorders>
            <w:shd w:val="clear" w:color="000000" w:fill="FFFFFF"/>
            <w:noWrap/>
            <w:vAlign w:val="center"/>
            <w:hideMark/>
          </w:tcPr>
          <w:p w14:paraId="22347CAC"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w:t>
            </w:r>
          </w:p>
        </w:tc>
        <w:tc>
          <w:tcPr>
            <w:tcW w:w="547" w:type="pct"/>
            <w:tcBorders>
              <w:top w:val="single" w:sz="4" w:space="0" w:color="auto"/>
              <w:left w:val="nil"/>
              <w:bottom w:val="single" w:sz="4" w:space="0" w:color="auto"/>
              <w:right w:val="nil"/>
            </w:tcBorders>
            <w:shd w:val="clear" w:color="000000" w:fill="FFFFFF"/>
            <w:noWrap/>
            <w:vAlign w:val="center"/>
            <w:hideMark/>
          </w:tcPr>
          <w:p w14:paraId="529F9758"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w:t>
            </w:r>
          </w:p>
        </w:tc>
        <w:tc>
          <w:tcPr>
            <w:tcW w:w="536" w:type="pct"/>
            <w:tcBorders>
              <w:top w:val="single" w:sz="4" w:space="0" w:color="auto"/>
              <w:left w:val="nil"/>
              <w:bottom w:val="single" w:sz="4" w:space="0" w:color="auto"/>
              <w:right w:val="nil"/>
            </w:tcBorders>
            <w:shd w:val="clear" w:color="000000" w:fill="FFFFFF"/>
            <w:noWrap/>
            <w:vAlign w:val="center"/>
            <w:hideMark/>
          </w:tcPr>
          <w:p w14:paraId="4F7DE209"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w:t>
            </w:r>
          </w:p>
        </w:tc>
        <w:tc>
          <w:tcPr>
            <w:tcW w:w="474" w:type="pct"/>
            <w:tcBorders>
              <w:top w:val="single" w:sz="4" w:space="0" w:color="auto"/>
              <w:left w:val="nil"/>
              <w:bottom w:val="single" w:sz="4" w:space="0" w:color="auto"/>
              <w:right w:val="nil"/>
            </w:tcBorders>
            <w:shd w:val="clear" w:color="000000" w:fill="FFFFFF"/>
            <w:noWrap/>
            <w:vAlign w:val="center"/>
            <w:hideMark/>
          </w:tcPr>
          <w:p w14:paraId="2B554FA8"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w:t>
            </w:r>
          </w:p>
        </w:tc>
        <w:tc>
          <w:tcPr>
            <w:tcW w:w="539" w:type="pct"/>
            <w:tcBorders>
              <w:top w:val="single" w:sz="4" w:space="0" w:color="auto"/>
              <w:left w:val="nil"/>
              <w:bottom w:val="single" w:sz="4" w:space="0" w:color="auto"/>
              <w:right w:val="nil"/>
            </w:tcBorders>
            <w:shd w:val="clear" w:color="000000" w:fill="FFFFFF"/>
            <w:noWrap/>
            <w:vAlign w:val="center"/>
            <w:hideMark/>
          </w:tcPr>
          <w:p w14:paraId="02DDB873"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w:t>
            </w:r>
          </w:p>
        </w:tc>
        <w:tc>
          <w:tcPr>
            <w:tcW w:w="501" w:type="pct"/>
            <w:tcBorders>
              <w:top w:val="single" w:sz="4" w:space="0" w:color="auto"/>
              <w:left w:val="nil"/>
              <w:bottom w:val="single" w:sz="4" w:space="0" w:color="auto"/>
              <w:right w:val="nil"/>
            </w:tcBorders>
            <w:shd w:val="clear" w:color="000000" w:fill="FFFFFF"/>
            <w:noWrap/>
            <w:vAlign w:val="center"/>
            <w:hideMark/>
          </w:tcPr>
          <w:p w14:paraId="0EF9D425"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w:t>
            </w:r>
          </w:p>
        </w:tc>
      </w:tr>
      <w:tr w:rsidR="00B10372" w:rsidRPr="0081325D" w14:paraId="6167F8BA" w14:textId="77777777" w:rsidTr="00382B43">
        <w:trPr>
          <w:trHeight w:val="418"/>
        </w:trPr>
        <w:tc>
          <w:tcPr>
            <w:tcW w:w="1885" w:type="pct"/>
            <w:tcBorders>
              <w:top w:val="nil"/>
              <w:left w:val="nil"/>
              <w:bottom w:val="nil"/>
              <w:right w:val="nil"/>
            </w:tcBorders>
            <w:shd w:val="clear" w:color="auto" w:fill="auto"/>
            <w:noWrap/>
            <w:vAlign w:val="center"/>
            <w:hideMark/>
          </w:tcPr>
          <w:p w14:paraId="05DB381C" w14:textId="77777777" w:rsidR="00B10372" w:rsidRPr="0081325D" w:rsidRDefault="00B10372" w:rsidP="00382B43">
            <w:pPr>
              <w:jc w:val="right"/>
              <w:rPr>
                <w:rFonts w:ascii="Calibri" w:hAnsi="Calibri" w:cs="Calibri"/>
                <w:b/>
                <w:bCs/>
                <w:lang w:eastAsia="en-GB"/>
              </w:rPr>
            </w:pPr>
          </w:p>
        </w:tc>
        <w:tc>
          <w:tcPr>
            <w:tcW w:w="519" w:type="pct"/>
            <w:tcBorders>
              <w:top w:val="nil"/>
              <w:left w:val="nil"/>
              <w:bottom w:val="nil"/>
              <w:right w:val="nil"/>
            </w:tcBorders>
            <w:shd w:val="clear" w:color="000000" w:fill="FFFFFF"/>
            <w:noWrap/>
            <w:vAlign w:val="center"/>
            <w:hideMark/>
          </w:tcPr>
          <w:p w14:paraId="4604430B"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 </w:t>
            </w:r>
          </w:p>
        </w:tc>
        <w:tc>
          <w:tcPr>
            <w:tcW w:w="547" w:type="pct"/>
            <w:tcBorders>
              <w:top w:val="nil"/>
              <w:left w:val="nil"/>
              <w:bottom w:val="nil"/>
              <w:right w:val="nil"/>
            </w:tcBorders>
            <w:shd w:val="clear" w:color="000000" w:fill="FFFFFF"/>
            <w:noWrap/>
            <w:vAlign w:val="center"/>
            <w:hideMark/>
          </w:tcPr>
          <w:p w14:paraId="2C8CD1AB"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 </w:t>
            </w:r>
          </w:p>
        </w:tc>
        <w:tc>
          <w:tcPr>
            <w:tcW w:w="536" w:type="pct"/>
            <w:tcBorders>
              <w:top w:val="nil"/>
              <w:left w:val="nil"/>
              <w:bottom w:val="nil"/>
              <w:right w:val="nil"/>
            </w:tcBorders>
            <w:shd w:val="clear" w:color="000000" w:fill="FFFFFF"/>
            <w:noWrap/>
            <w:vAlign w:val="center"/>
            <w:hideMark/>
          </w:tcPr>
          <w:p w14:paraId="31544A57"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 </w:t>
            </w:r>
          </w:p>
        </w:tc>
        <w:tc>
          <w:tcPr>
            <w:tcW w:w="474" w:type="pct"/>
            <w:tcBorders>
              <w:top w:val="nil"/>
              <w:left w:val="nil"/>
              <w:bottom w:val="nil"/>
              <w:right w:val="nil"/>
            </w:tcBorders>
            <w:shd w:val="clear" w:color="000000" w:fill="FFFFFF"/>
            <w:noWrap/>
            <w:vAlign w:val="center"/>
            <w:hideMark/>
          </w:tcPr>
          <w:p w14:paraId="09B4AE72"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 </w:t>
            </w:r>
          </w:p>
        </w:tc>
        <w:tc>
          <w:tcPr>
            <w:tcW w:w="539" w:type="pct"/>
            <w:tcBorders>
              <w:top w:val="nil"/>
              <w:left w:val="nil"/>
              <w:bottom w:val="nil"/>
              <w:right w:val="nil"/>
            </w:tcBorders>
            <w:shd w:val="clear" w:color="000000" w:fill="FFFFFF"/>
            <w:noWrap/>
            <w:vAlign w:val="center"/>
            <w:hideMark/>
          </w:tcPr>
          <w:p w14:paraId="7394FFC9"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 </w:t>
            </w:r>
          </w:p>
        </w:tc>
        <w:tc>
          <w:tcPr>
            <w:tcW w:w="501" w:type="pct"/>
            <w:tcBorders>
              <w:top w:val="nil"/>
              <w:left w:val="nil"/>
              <w:bottom w:val="nil"/>
              <w:right w:val="nil"/>
            </w:tcBorders>
            <w:shd w:val="clear" w:color="000000" w:fill="FFFFFF"/>
            <w:noWrap/>
            <w:vAlign w:val="center"/>
            <w:hideMark/>
          </w:tcPr>
          <w:p w14:paraId="3625C0F3"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 </w:t>
            </w:r>
          </w:p>
        </w:tc>
      </w:tr>
      <w:tr w:rsidR="00B10372" w:rsidRPr="0081325D" w14:paraId="43E0E6D2" w14:textId="77777777" w:rsidTr="00382B43">
        <w:trPr>
          <w:trHeight w:val="418"/>
        </w:trPr>
        <w:tc>
          <w:tcPr>
            <w:tcW w:w="1885" w:type="pct"/>
            <w:tcBorders>
              <w:top w:val="nil"/>
              <w:left w:val="nil"/>
              <w:bottom w:val="nil"/>
              <w:right w:val="nil"/>
            </w:tcBorders>
            <w:shd w:val="clear" w:color="auto" w:fill="auto"/>
            <w:noWrap/>
            <w:vAlign w:val="center"/>
            <w:hideMark/>
          </w:tcPr>
          <w:p w14:paraId="6CBDD83A" w14:textId="77777777" w:rsidR="00B10372" w:rsidRPr="0081325D" w:rsidRDefault="00B10372" w:rsidP="00382B43">
            <w:pPr>
              <w:rPr>
                <w:rFonts w:ascii="Calibri" w:hAnsi="Calibri" w:cs="Calibri"/>
                <w:color w:val="000000"/>
                <w:lang w:eastAsia="en-GB"/>
              </w:rPr>
            </w:pPr>
            <w:r w:rsidRPr="0081325D">
              <w:rPr>
                <w:rFonts w:ascii="Calibri" w:hAnsi="Calibri" w:cs="Calibri"/>
                <w:color w:val="000000"/>
                <w:lang w:eastAsia="en-GB"/>
              </w:rPr>
              <w:t>Loss for period</w:t>
            </w:r>
          </w:p>
        </w:tc>
        <w:tc>
          <w:tcPr>
            <w:tcW w:w="519" w:type="pct"/>
            <w:tcBorders>
              <w:top w:val="nil"/>
              <w:left w:val="nil"/>
              <w:bottom w:val="nil"/>
              <w:right w:val="nil"/>
            </w:tcBorders>
            <w:shd w:val="clear" w:color="000000" w:fill="FFFFFF"/>
            <w:noWrap/>
            <w:vAlign w:val="center"/>
            <w:hideMark/>
          </w:tcPr>
          <w:p w14:paraId="4A1D0F0C"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47" w:type="pct"/>
            <w:tcBorders>
              <w:top w:val="nil"/>
              <w:left w:val="nil"/>
              <w:bottom w:val="nil"/>
              <w:right w:val="nil"/>
            </w:tcBorders>
            <w:shd w:val="clear" w:color="000000" w:fill="FFFFFF"/>
            <w:noWrap/>
            <w:vAlign w:val="center"/>
            <w:hideMark/>
          </w:tcPr>
          <w:p w14:paraId="57D72170"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36" w:type="pct"/>
            <w:tcBorders>
              <w:top w:val="nil"/>
              <w:left w:val="nil"/>
              <w:bottom w:val="nil"/>
              <w:right w:val="nil"/>
            </w:tcBorders>
            <w:shd w:val="clear" w:color="000000" w:fill="FFFFFF"/>
            <w:noWrap/>
            <w:vAlign w:val="center"/>
            <w:hideMark/>
          </w:tcPr>
          <w:p w14:paraId="732ABCF8"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474" w:type="pct"/>
            <w:tcBorders>
              <w:top w:val="nil"/>
              <w:left w:val="nil"/>
              <w:bottom w:val="nil"/>
              <w:right w:val="nil"/>
            </w:tcBorders>
            <w:shd w:val="clear" w:color="000000" w:fill="FFFFFF"/>
            <w:noWrap/>
            <w:vAlign w:val="center"/>
            <w:hideMark/>
          </w:tcPr>
          <w:p w14:paraId="49A07CE4"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39" w:type="pct"/>
            <w:tcBorders>
              <w:top w:val="nil"/>
              <w:left w:val="nil"/>
              <w:bottom w:val="nil"/>
              <w:right w:val="nil"/>
            </w:tcBorders>
            <w:shd w:val="clear" w:color="000000" w:fill="FFFFFF"/>
            <w:noWrap/>
            <w:vAlign w:val="center"/>
            <w:hideMark/>
          </w:tcPr>
          <w:p w14:paraId="2CE407FA" w14:textId="77777777" w:rsidR="00B10372" w:rsidRPr="0081325D" w:rsidRDefault="00B10372" w:rsidP="00382B43">
            <w:pPr>
              <w:jc w:val="right"/>
              <w:rPr>
                <w:rFonts w:ascii="Calibri" w:hAnsi="Calibri" w:cs="Calibri"/>
                <w:lang w:eastAsia="en-GB"/>
              </w:rPr>
            </w:pPr>
            <w:r w:rsidRPr="0081325D">
              <w:rPr>
                <w:rFonts w:ascii="Calibri" w:hAnsi="Calibri" w:cs="Calibri"/>
                <w:color w:val="000000"/>
                <w:lang w:eastAsia="en-GB"/>
              </w:rPr>
              <w:t>(1,293)</w:t>
            </w:r>
          </w:p>
        </w:tc>
        <w:tc>
          <w:tcPr>
            <w:tcW w:w="501" w:type="pct"/>
            <w:tcBorders>
              <w:top w:val="nil"/>
              <w:left w:val="nil"/>
              <w:bottom w:val="nil"/>
              <w:right w:val="nil"/>
            </w:tcBorders>
            <w:shd w:val="clear" w:color="000000" w:fill="FFFFFF"/>
            <w:noWrap/>
            <w:vAlign w:val="center"/>
            <w:hideMark/>
          </w:tcPr>
          <w:p w14:paraId="4312D0CB" w14:textId="77777777" w:rsidR="00B10372" w:rsidRPr="0081325D" w:rsidRDefault="00B10372" w:rsidP="00382B43">
            <w:pPr>
              <w:jc w:val="right"/>
              <w:rPr>
                <w:rFonts w:ascii="Calibri" w:hAnsi="Calibri" w:cs="Calibri"/>
                <w:lang w:eastAsia="en-GB"/>
              </w:rPr>
            </w:pPr>
            <w:r w:rsidRPr="0081325D">
              <w:rPr>
                <w:rFonts w:ascii="Calibri" w:hAnsi="Calibri" w:cs="Calibri"/>
                <w:color w:val="000000"/>
                <w:lang w:eastAsia="en-GB"/>
              </w:rPr>
              <w:t>(1,293)</w:t>
            </w:r>
          </w:p>
        </w:tc>
      </w:tr>
      <w:tr w:rsidR="00B10372" w:rsidRPr="0081325D" w14:paraId="31F8444C" w14:textId="77777777" w:rsidTr="00382B43">
        <w:trPr>
          <w:trHeight w:val="418"/>
        </w:trPr>
        <w:tc>
          <w:tcPr>
            <w:tcW w:w="1885" w:type="pct"/>
            <w:tcBorders>
              <w:top w:val="nil"/>
              <w:left w:val="nil"/>
              <w:bottom w:val="nil"/>
              <w:right w:val="nil"/>
            </w:tcBorders>
            <w:shd w:val="clear" w:color="auto" w:fill="auto"/>
            <w:noWrap/>
            <w:vAlign w:val="center"/>
            <w:hideMark/>
          </w:tcPr>
          <w:p w14:paraId="2603CF6C" w14:textId="77777777" w:rsidR="00B10372" w:rsidRPr="0081325D" w:rsidRDefault="00B10372" w:rsidP="00382B43">
            <w:pPr>
              <w:rPr>
                <w:rFonts w:ascii="Calibri" w:hAnsi="Calibri" w:cs="Calibri"/>
                <w:color w:val="000000"/>
                <w:lang w:eastAsia="en-GB"/>
              </w:rPr>
            </w:pPr>
            <w:r w:rsidRPr="0081325D">
              <w:rPr>
                <w:rFonts w:ascii="Calibri" w:hAnsi="Calibri" w:cs="Calibri"/>
                <w:color w:val="000000"/>
                <w:lang w:eastAsia="en-GB"/>
              </w:rPr>
              <w:t>Other comprehensive income</w:t>
            </w:r>
          </w:p>
        </w:tc>
        <w:tc>
          <w:tcPr>
            <w:tcW w:w="519" w:type="pct"/>
            <w:tcBorders>
              <w:top w:val="nil"/>
              <w:left w:val="nil"/>
              <w:bottom w:val="nil"/>
              <w:right w:val="nil"/>
            </w:tcBorders>
            <w:shd w:val="clear" w:color="000000" w:fill="FFFFFF"/>
            <w:noWrap/>
            <w:vAlign w:val="center"/>
            <w:hideMark/>
          </w:tcPr>
          <w:p w14:paraId="7B39207F"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47" w:type="pct"/>
            <w:tcBorders>
              <w:top w:val="nil"/>
              <w:left w:val="nil"/>
              <w:bottom w:val="nil"/>
              <w:right w:val="nil"/>
            </w:tcBorders>
            <w:shd w:val="clear" w:color="000000" w:fill="FFFFFF"/>
            <w:noWrap/>
            <w:vAlign w:val="center"/>
            <w:hideMark/>
          </w:tcPr>
          <w:p w14:paraId="59A0A62A"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36" w:type="pct"/>
            <w:tcBorders>
              <w:top w:val="nil"/>
              <w:left w:val="nil"/>
              <w:bottom w:val="nil"/>
              <w:right w:val="nil"/>
            </w:tcBorders>
            <w:shd w:val="clear" w:color="000000" w:fill="FFFFFF"/>
            <w:noWrap/>
            <w:vAlign w:val="center"/>
            <w:hideMark/>
          </w:tcPr>
          <w:p w14:paraId="0313872F"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474" w:type="pct"/>
            <w:tcBorders>
              <w:top w:val="nil"/>
              <w:left w:val="nil"/>
              <w:bottom w:val="nil"/>
              <w:right w:val="nil"/>
            </w:tcBorders>
            <w:shd w:val="clear" w:color="000000" w:fill="FFFFFF"/>
            <w:noWrap/>
            <w:vAlign w:val="center"/>
            <w:hideMark/>
          </w:tcPr>
          <w:p w14:paraId="1F35B519"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39" w:type="pct"/>
            <w:tcBorders>
              <w:top w:val="nil"/>
              <w:left w:val="nil"/>
              <w:bottom w:val="nil"/>
              <w:right w:val="nil"/>
            </w:tcBorders>
            <w:shd w:val="clear" w:color="000000" w:fill="FFFFFF"/>
            <w:noWrap/>
            <w:vAlign w:val="center"/>
            <w:hideMark/>
          </w:tcPr>
          <w:p w14:paraId="6A713B33"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24</w:t>
            </w:r>
          </w:p>
        </w:tc>
        <w:tc>
          <w:tcPr>
            <w:tcW w:w="501" w:type="pct"/>
            <w:tcBorders>
              <w:top w:val="nil"/>
              <w:left w:val="nil"/>
              <w:bottom w:val="nil"/>
              <w:right w:val="nil"/>
            </w:tcBorders>
            <w:shd w:val="clear" w:color="000000" w:fill="FFFFFF"/>
            <w:noWrap/>
            <w:vAlign w:val="center"/>
            <w:hideMark/>
          </w:tcPr>
          <w:p w14:paraId="14F91070"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24</w:t>
            </w:r>
          </w:p>
        </w:tc>
      </w:tr>
      <w:tr w:rsidR="00B10372" w:rsidRPr="0081325D" w14:paraId="6DF5DA10" w14:textId="77777777" w:rsidTr="00382B43">
        <w:trPr>
          <w:trHeight w:val="405"/>
        </w:trPr>
        <w:tc>
          <w:tcPr>
            <w:tcW w:w="1885" w:type="pct"/>
            <w:tcBorders>
              <w:top w:val="single" w:sz="4" w:space="0" w:color="auto"/>
              <w:left w:val="nil"/>
              <w:bottom w:val="nil"/>
              <w:right w:val="nil"/>
            </w:tcBorders>
            <w:shd w:val="clear" w:color="auto" w:fill="auto"/>
            <w:noWrap/>
            <w:vAlign w:val="center"/>
            <w:hideMark/>
          </w:tcPr>
          <w:p w14:paraId="1C60E683" w14:textId="77777777" w:rsidR="00B10372" w:rsidRPr="0081325D" w:rsidRDefault="00B10372" w:rsidP="00382B43">
            <w:pPr>
              <w:rPr>
                <w:rFonts w:ascii="Calibri" w:hAnsi="Calibri" w:cs="Calibri"/>
                <w:b/>
                <w:bCs/>
                <w:color w:val="000000"/>
                <w:lang w:eastAsia="en-GB"/>
              </w:rPr>
            </w:pPr>
            <w:r w:rsidRPr="0081325D">
              <w:rPr>
                <w:rFonts w:ascii="Calibri" w:hAnsi="Calibri" w:cs="Calibri"/>
                <w:b/>
                <w:bCs/>
                <w:color w:val="000000"/>
                <w:lang w:eastAsia="en-GB"/>
              </w:rPr>
              <w:t>Total comprehensive income for year</w:t>
            </w:r>
          </w:p>
        </w:tc>
        <w:tc>
          <w:tcPr>
            <w:tcW w:w="519" w:type="pct"/>
            <w:tcBorders>
              <w:top w:val="single" w:sz="4" w:space="0" w:color="auto"/>
              <w:left w:val="nil"/>
              <w:bottom w:val="nil"/>
              <w:right w:val="nil"/>
            </w:tcBorders>
            <w:shd w:val="clear" w:color="000000" w:fill="FFFFFF"/>
            <w:noWrap/>
            <w:vAlign w:val="center"/>
            <w:hideMark/>
          </w:tcPr>
          <w:p w14:paraId="4C77ED55"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w:t>
            </w:r>
          </w:p>
        </w:tc>
        <w:tc>
          <w:tcPr>
            <w:tcW w:w="547" w:type="pct"/>
            <w:tcBorders>
              <w:top w:val="single" w:sz="4" w:space="0" w:color="auto"/>
              <w:left w:val="nil"/>
              <w:bottom w:val="nil"/>
              <w:right w:val="nil"/>
            </w:tcBorders>
            <w:shd w:val="clear" w:color="000000" w:fill="FFFFFF"/>
            <w:noWrap/>
            <w:vAlign w:val="center"/>
            <w:hideMark/>
          </w:tcPr>
          <w:p w14:paraId="2FD8A322"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w:t>
            </w:r>
          </w:p>
        </w:tc>
        <w:tc>
          <w:tcPr>
            <w:tcW w:w="536" w:type="pct"/>
            <w:tcBorders>
              <w:top w:val="single" w:sz="4" w:space="0" w:color="auto"/>
              <w:left w:val="nil"/>
              <w:bottom w:val="nil"/>
              <w:right w:val="nil"/>
            </w:tcBorders>
            <w:shd w:val="clear" w:color="000000" w:fill="FFFFFF"/>
            <w:noWrap/>
            <w:vAlign w:val="center"/>
            <w:hideMark/>
          </w:tcPr>
          <w:p w14:paraId="24F70D3F"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w:t>
            </w:r>
          </w:p>
        </w:tc>
        <w:tc>
          <w:tcPr>
            <w:tcW w:w="474" w:type="pct"/>
            <w:tcBorders>
              <w:top w:val="single" w:sz="4" w:space="0" w:color="auto"/>
              <w:left w:val="nil"/>
              <w:bottom w:val="nil"/>
              <w:right w:val="nil"/>
            </w:tcBorders>
            <w:shd w:val="clear" w:color="000000" w:fill="FFFFFF"/>
            <w:noWrap/>
            <w:vAlign w:val="center"/>
            <w:hideMark/>
          </w:tcPr>
          <w:p w14:paraId="34C3DEB6"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w:t>
            </w:r>
          </w:p>
        </w:tc>
        <w:tc>
          <w:tcPr>
            <w:tcW w:w="539" w:type="pct"/>
            <w:tcBorders>
              <w:top w:val="single" w:sz="4" w:space="0" w:color="auto"/>
              <w:left w:val="nil"/>
              <w:bottom w:val="nil"/>
              <w:right w:val="nil"/>
            </w:tcBorders>
            <w:shd w:val="clear" w:color="000000" w:fill="FFFFFF"/>
            <w:noWrap/>
            <w:vAlign w:val="center"/>
            <w:hideMark/>
          </w:tcPr>
          <w:p w14:paraId="5943C821" w14:textId="77777777" w:rsidR="00B10372" w:rsidRPr="0081325D" w:rsidRDefault="00B10372" w:rsidP="00382B43">
            <w:pPr>
              <w:jc w:val="right"/>
              <w:rPr>
                <w:rFonts w:ascii="Calibri" w:hAnsi="Calibri" w:cs="Calibri"/>
                <w:b/>
                <w:bCs/>
                <w:lang w:eastAsia="en-GB"/>
              </w:rPr>
            </w:pPr>
            <w:r w:rsidRPr="0081325D">
              <w:rPr>
                <w:rFonts w:ascii="Calibri" w:hAnsi="Calibri" w:cs="Calibri"/>
                <w:b/>
                <w:bCs/>
                <w:color w:val="000000"/>
                <w:lang w:eastAsia="en-GB"/>
              </w:rPr>
              <w:t>(1,269)</w:t>
            </w:r>
          </w:p>
        </w:tc>
        <w:tc>
          <w:tcPr>
            <w:tcW w:w="501" w:type="pct"/>
            <w:tcBorders>
              <w:top w:val="single" w:sz="4" w:space="0" w:color="auto"/>
              <w:left w:val="nil"/>
              <w:bottom w:val="nil"/>
              <w:right w:val="nil"/>
            </w:tcBorders>
            <w:shd w:val="clear" w:color="000000" w:fill="FFFFFF"/>
            <w:noWrap/>
            <w:vAlign w:val="center"/>
            <w:hideMark/>
          </w:tcPr>
          <w:p w14:paraId="186175EE" w14:textId="77777777" w:rsidR="00B10372" w:rsidRPr="0081325D" w:rsidRDefault="00B10372" w:rsidP="00382B43">
            <w:pPr>
              <w:jc w:val="right"/>
              <w:rPr>
                <w:rFonts w:ascii="Calibri" w:hAnsi="Calibri" w:cs="Calibri"/>
                <w:b/>
                <w:bCs/>
                <w:lang w:eastAsia="en-GB"/>
              </w:rPr>
            </w:pPr>
            <w:r w:rsidRPr="0081325D">
              <w:rPr>
                <w:rFonts w:ascii="Calibri" w:hAnsi="Calibri" w:cs="Calibri"/>
                <w:b/>
                <w:bCs/>
                <w:color w:val="000000"/>
                <w:lang w:eastAsia="en-GB"/>
              </w:rPr>
              <w:t>(1,269)</w:t>
            </w:r>
          </w:p>
        </w:tc>
      </w:tr>
      <w:tr w:rsidR="00B10372" w:rsidRPr="0081325D" w14:paraId="66B4E0A8" w14:textId="77777777" w:rsidTr="00382B43">
        <w:trPr>
          <w:trHeight w:val="348"/>
        </w:trPr>
        <w:tc>
          <w:tcPr>
            <w:tcW w:w="1885" w:type="pct"/>
            <w:tcBorders>
              <w:top w:val="nil"/>
              <w:left w:val="nil"/>
              <w:bottom w:val="nil"/>
              <w:right w:val="nil"/>
            </w:tcBorders>
            <w:shd w:val="clear" w:color="auto" w:fill="auto"/>
            <w:noWrap/>
            <w:vAlign w:val="center"/>
            <w:hideMark/>
          </w:tcPr>
          <w:p w14:paraId="0BBB9745" w14:textId="77777777" w:rsidR="00B10372" w:rsidRPr="0081325D" w:rsidRDefault="00B10372" w:rsidP="00382B43">
            <w:pPr>
              <w:jc w:val="right"/>
              <w:rPr>
                <w:rFonts w:ascii="Calibri" w:hAnsi="Calibri" w:cs="Calibri"/>
                <w:b/>
                <w:bCs/>
                <w:lang w:eastAsia="en-GB"/>
              </w:rPr>
            </w:pPr>
          </w:p>
        </w:tc>
        <w:tc>
          <w:tcPr>
            <w:tcW w:w="519" w:type="pct"/>
            <w:tcBorders>
              <w:top w:val="nil"/>
              <w:left w:val="nil"/>
              <w:bottom w:val="nil"/>
              <w:right w:val="nil"/>
            </w:tcBorders>
            <w:shd w:val="clear" w:color="000000" w:fill="FFFFFF"/>
            <w:noWrap/>
            <w:vAlign w:val="center"/>
            <w:hideMark/>
          </w:tcPr>
          <w:p w14:paraId="36A6E47E"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47" w:type="pct"/>
            <w:tcBorders>
              <w:top w:val="nil"/>
              <w:left w:val="nil"/>
              <w:bottom w:val="nil"/>
              <w:right w:val="nil"/>
            </w:tcBorders>
            <w:shd w:val="clear" w:color="000000" w:fill="FFFFFF"/>
            <w:noWrap/>
            <w:vAlign w:val="center"/>
            <w:hideMark/>
          </w:tcPr>
          <w:p w14:paraId="3B9898FB"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36" w:type="pct"/>
            <w:tcBorders>
              <w:top w:val="nil"/>
              <w:left w:val="nil"/>
              <w:bottom w:val="nil"/>
              <w:right w:val="nil"/>
            </w:tcBorders>
            <w:shd w:val="clear" w:color="000000" w:fill="FFFFFF"/>
            <w:noWrap/>
            <w:vAlign w:val="center"/>
            <w:hideMark/>
          </w:tcPr>
          <w:p w14:paraId="68319B8A"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474" w:type="pct"/>
            <w:tcBorders>
              <w:top w:val="nil"/>
              <w:left w:val="nil"/>
              <w:bottom w:val="nil"/>
              <w:right w:val="nil"/>
            </w:tcBorders>
            <w:shd w:val="clear" w:color="000000" w:fill="FFFFFF"/>
            <w:noWrap/>
            <w:vAlign w:val="center"/>
            <w:hideMark/>
          </w:tcPr>
          <w:p w14:paraId="5228EC7A"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39" w:type="pct"/>
            <w:tcBorders>
              <w:top w:val="nil"/>
              <w:left w:val="nil"/>
              <w:bottom w:val="nil"/>
              <w:right w:val="nil"/>
            </w:tcBorders>
            <w:shd w:val="clear" w:color="000000" w:fill="FFFFFF"/>
            <w:noWrap/>
            <w:vAlign w:val="center"/>
            <w:hideMark/>
          </w:tcPr>
          <w:p w14:paraId="0704DB04"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01" w:type="pct"/>
            <w:tcBorders>
              <w:top w:val="nil"/>
              <w:left w:val="nil"/>
              <w:bottom w:val="nil"/>
              <w:right w:val="nil"/>
            </w:tcBorders>
            <w:shd w:val="clear" w:color="000000" w:fill="FFFFFF"/>
            <w:noWrap/>
            <w:vAlign w:val="center"/>
            <w:hideMark/>
          </w:tcPr>
          <w:p w14:paraId="6052E1FF"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r>
      <w:tr w:rsidR="00B10372" w:rsidRPr="0081325D" w14:paraId="28BB0A99" w14:textId="77777777" w:rsidTr="00382B43">
        <w:trPr>
          <w:trHeight w:val="418"/>
        </w:trPr>
        <w:tc>
          <w:tcPr>
            <w:tcW w:w="1885" w:type="pct"/>
            <w:tcBorders>
              <w:top w:val="nil"/>
              <w:left w:val="nil"/>
              <w:bottom w:val="nil"/>
              <w:right w:val="nil"/>
            </w:tcBorders>
            <w:shd w:val="clear" w:color="auto" w:fill="auto"/>
            <w:noWrap/>
            <w:vAlign w:val="center"/>
            <w:hideMark/>
          </w:tcPr>
          <w:p w14:paraId="441B71E3" w14:textId="77777777" w:rsidR="00B10372" w:rsidRPr="0081325D" w:rsidRDefault="00B10372" w:rsidP="00382B43">
            <w:pPr>
              <w:rPr>
                <w:rFonts w:ascii="Calibri" w:hAnsi="Calibri" w:cs="Calibri"/>
                <w:b/>
                <w:bCs/>
                <w:color w:val="000000"/>
                <w:lang w:eastAsia="en-GB"/>
              </w:rPr>
            </w:pPr>
            <w:r w:rsidRPr="0081325D">
              <w:rPr>
                <w:rFonts w:ascii="Calibri" w:hAnsi="Calibri" w:cs="Calibri"/>
                <w:b/>
                <w:bCs/>
                <w:color w:val="000000"/>
                <w:lang w:eastAsia="en-GB"/>
              </w:rPr>
              <w:t xml:space="preserve">Transactions with owners </w:t>
            </w:r>
          </w:p>
        </w:tc>
        <w:tc>
          <w:tcPr>
            <w:tcW w:w="519" w:type="pct"/>
            <w:tcBorders>
              <w:top w:val="nil"/>
              <w:left w:val="nil"/>
              <w:bottom w:val="nil"/>
              <w:right w:val="nil"/>
            </w:tcBorders>
            <w:shd w:val="clear" w:color="000000" w:fill="FFFFFF"/>
            <w:noWrap/>
            <w:vAlign w:val="center"/>
            <w:hideMark/>
          </w:tcPr>
          <w:p w14:paraId="6BECD7AC"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47" w:type="pct"/>
            <w:tcBorders>
              <w:top w:val="nil"/>
              <w:left w:val="nil"/>
              <w:bottom w:val="nil"/>
              <w:right w:val="nil"/>
            </w:tcBorders>
            <w:shd w:val="clear" w:color="000000" w:fill="FFFFFF"/>
            <w:noWrap/>
            <w:vAlign w:val="center"/>
            <w:hideMark/>
          </w:tcPr>
          <w:p w14:paraId="781AC2E3"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36" w:type="pct"/>
            <w:tcBorders>
              <w:top w:val="nil"/>
              <w:left w:val="nil"/>
              <w:bottom w:val="nil"/>
              <w:right w:val="nil"/>
            </w:tcBorders>
            <w:shd w:val="clear" w:color="000000" w:fill="FFFFFF"/>
            <w:noWrap/>
            <w:vAlign w:val="center"/>
            <w:hideMark/>
          </w:tcPr>
          <w:p w14:paraId="35B383C3"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474" w:type="pct"/>
            <w:tcBorders>
              <w:top w:val="nil"/>
              <w:left w:val="nil"/>
              <w:bottom w:val="nil"/>
              <w:right w:val="nil"/>
            </w:tcBorders>
            <w:shd w:val="clear" w:color="000000" w:fill="FFFFFF"/>
            <w:noWrap/>
            <w:vAlign w:val="center"/>
            <w:hideMark/>
          </w:tcPr>
          <w:p w14:paraId="42D2AF13"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39" w:type="pct"/>
            <w:tcBorders>
              <w:top w:val="nil"/>
              <w:left w:val="nil"/>
              <w:bottom w:val="nil"/>
              <w:right w:val="nil"/>
            </w:tcBorders>
            <w:shd w:val="clear" w:color="000000" w:fill="FFFFFF"/>
            <w:noWrap/>
            <w:vAlign w:val="center"/>
            <w:hideMark/>
          </w:tcPr>
          <w:p w14:paraId="27934093"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01" w:type="pct"/>
            <w:tcBorders>
              <w:top w:val="nil"/>
              <w:left w:val="nil"/>
              <w:bottom w:val="nil"/>
              <w:right w:val="nil"/>
            </w:tcBorders>
            <w:shd w:val="clear" w:color="000000" w:fill="FFFFFF"/>
            <w:noWrap/>
            <w:vAlign w:val="center"/>
            <w:hideMark/>
          </w:tcPr>
          <w:p w14:paraId="5721049E"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r>
      <w:tr w:rsidR="00B10372" w:rsidRPr="0081325D" w14:paraId="0D374259" w14:textId="77777777" w:rsidTr="00382B43">
        <w:trPr>
          <w:trHeight w:val="418"/>
        </w:trPr>
        <w:tc>
          <w:tcPr>
            <w:tcW w:w="1885" w:type="pct"/>
            <w:tcBorders>
              <w:top w:val="nil"/>
              <w:left w:val="nil"/>
              <w:bottom w:val="nil"/>
              <w:right w:val="nil"/>
            </w:tcBorders>
            <w:shd w:val="clear" w:color="auto" w:fill="auto"/>
            <w:noWrap/>
            <w:vAlign w:val="center"/>
            <w:hideMark/>
          </w:tcPr>
          <w:p w14:paraId="2A926A52" w14:textId="77777777" w:rsidR="00B10372" w:rsidRPr="0081325D" w:rsidRDefault="00B10372" w:rsidP="00382B43">
            <w:pPr>
              <w:rPr>
                <w:rFonts w:ascii="Calibri" w:hAnsi="Calibri" w:cs="Calibri"/>
                <w:color w:val="000000"/>
                <w:lang w:eastAsia="en-GB"/>
              </w:rPr>
            </w:pPr>
            <w:r w:rsidRPr="0081325D">
              <w:rPr>
                <w:rFonts w:ascii="Calibri" w:hAnsi="Calibri" w:cs="Calibri"/>
                <w:color w:val="000000"/>
                <w:lang w:eastAsia="en-GB"/>
              </w:rPr>
              <w:t xml:space="preserve">Ordinary shares issued </w:t>
            </w:r>
          </w:p>
        </w:tc>
        <w:tc>
          <w:tcPr>
            <w:tcW w:w="519" w:type="pct"/>
            <w:tcBorders>
              <w:top w:val="nil"/>
              <w:left w:val="nil"/>
              <w:bottom w:val="nil"/>
              <w:right w:val="nil"/>
            </w:tcBorders>
            <w:shd w:val="clear" w:color="000000" w:fill="FFFFFF"/>
            <w:noWrap/>
            <w:vAlign w:val="center"/>
            <w:hideMark/>
          </w:tcPr>
          <w:p w14:paraId="4E05A45B"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297</w:t>
            </w:r>
          </w:p>
        </w:tc>
        <w:tc>
          <w:tcPr>
            <w:tcW w:w="547" w:type="pct"/>
            <w:tcBorders>
              <w:top w:val="nil"/>
              <w:left w:val="nil"/>
              <w:bottom w:val="nil"/>
              <w:right w:val="nil"/>
            </w:tcBorders>
            <w:shd w:val="clear" w:color="000000" w:fill="FFFFFF"/>
            <w:noWrap/>
            <w:vAlign w:val="center"/>
            <w:hideMark/>
          </w:tcPr>
          <w:p w14:paraId="497F055C"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2,951</w:t>
            </w:r>
          </w:p>
        </w:tc>
        <w:tc>
          <w:tcPr>
            <w:tcW w:w="536" w:type="pct"/>
            <w:tcBorders>
              <w:top w:val="nil"/>
              <w:left w:val="nil"/>
              <w:bottom w:val="nil"/>
              <w:right w:val="nil"/>
            </w:tcBorders>
            <w:shd w:val="clear" w:color="000000" w:fill="FFFFFF"/>
            <w:noWrap/>
            <w:vAlign w:val="center"/>
            <w:hideMark/>
          </w:tcPr>
          <w:p w14:paraId="28FD6D25"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474" w:type="pct"/>
            <w:tcBorders>
              <w:top w:val="nil"/>
              <w:left w:val="nil"/>
              <w:bottom w:val="nil"/>
              <w:right w:val="nil"/>
            </w:tcBorders>
            <w:shd w:val="clear" w:color="000000" w:fill="FFFFFF"/>
            <w:noWrap/>
            <w:vAlign w:val="center"/>
            <w:hideMark/>
          </w:tcPr>
          <w:p w14:paraId="1D50EC4D"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39" w:type="pct"/>
            <w:tcBorders>
              <w:top w:val="nil"/>
              <w:left w:val="nil"/>
              <w:bottom w:val="nil"/>
              <w:right w:val="nil"/>
            </w:tcBorders>
            <w:shd w:val="clear" w:color="000000" w:fill="FFFFFF"/>
            <w:noWrap/>
            <w:vAlign w:val="center"/>
            <w:hideMark/>
          </w:tcPr>
          <w:p w14:paraId="448600DE"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01" w:type="pct"/>
            <w:tcBorders>
              <w:top w:val="nil"/>
              <w:left w:val="nil"/>
              <w:bottom w:val="nil"/>
              <w:right w:val="nil"/>
            </w:tcBorders>
            <w:shd w:val="clear" w:color="000000" w:fill="FFFFFF"/>
            <w:noWrap/>
            <w:vAlign w:val="center"/>
            <w:hideMark/>
          </w:tcPr>
          <w:p w14:paraId="63DC15A5"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3,248</w:t>
            </w:r>
          </w:p>
        </w:tc>
      </w:tr>
      <w:tr w:rsidR="00B10372" w:rsidRPr="0081325D" w14:paraId="1D87EF5B" w14:textId="77777777" w:rsidTr="00382B43">
        <w:trPr>
          <w:trHeight w:val="418"/>
        </w:trPr>
        <w:tc>
          <w:tcPr>
            <w:tcW w:w="1885" w:type="pct"/>
            <w:tcBorders>
              <w:top w:val="nil"/>
              <w:left w:val="nil"/>
              <w:bottom w:val="nil"/>
              <w:right w:val="nil"/>
            </w:tcBorders>
            <w:shd w:val="clear" w:color="auto" w:fill="auto"/>
            <w:noWrap/>
            <w:vAlign w:val="center"/>
            <w:hideMark/>
          </w:tcPr>
          <w:p w14:paraId="1BF8F6EC" w14:textId="77777777" w:rsidR="00B10372" w:rsidRPr="0081325D" w:rsidRDefault="00B10372" w:rsidP="00382B43">
            <w:pPr>
              <w:rPr>
                <w:rFonts w:ascii="Calibri" w:hAnsi="Calibri" w:cs="Calibri"/>
                <w:color w:val="000000"/>
                <w:lang w:eastAsia="en-GB"/>
              </w:rPr>
            </w:pPr>
            <w:r w:rsidRPr="0081325D">
              <w:rPr>
                <w:rFonts w:ascii="Calibri" w:hAnsi="Calibri" w:cs="Calibri"/>
                <w:color w:val="000000"/>
                <w:lang w:eastAsia="en-GB"/>
              </w:rPr>
              <w:t>Broker warrants issued</w:t>
            </w:r>
          </w:p>
        </w:tc>
        <w:tc>
          <w:tcPr>
            <w:tcW w:w="519" w:type="pct"/>
            <w:tcBorders>
              <w:top w:val="nil"/>
              <w:left w:val="nil"/>
              <w:bottom w:val="nil"/>
              <w:right w:val="nil"/>
            </w:tcBorders>
            <w:shd w:val="clear" w:color="000000" w:fill="FFFFFF"/>
            <w:noWrap/>
            <w:vAlign w:val="center"/>
            <w:hideMark/>
          </w:tcPr>
          <w:p w14:paraId="3925841E"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47" w:type="pct"/>
            <w:tcBorders>
              <w:top w:val="nil"/>
              <w:left w:val="nil"/>
              <w:bottom w:val="nil"/>
              <w:right w:val="nil"/>
            </w:tcBorders>
            <w:shd w:val="clear" w:color="000000" w:fill="FFFFFF"/>
            <w:noWrap/>
            <w:vAlign w:val="center"/>
            <w:hideMark/>
          </w:tcPr>
          <w:p w14:paraId="6F4A3834"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61</w:t>
            </w:r>
          </w:p>
        </w:tc>
        <w:tc>
          <w:tcPr>
            <w:tcW w:w="536" w:type="pct"/>
            <w:tcBorders>
              <w:top w:val="nil"/>
              <w:left w:val="nil"/>
              <w:bottom w:val="nil"/>
              <w:right w:val="nil"/>
            </w:tcBorders>
            <w:shd w:val="clear" w:color="000000" w:fill="FFFFFF"/>
            <w:noWrap/>
            <w:vAlign w:val="center"/>
            <w:hideMark/>
          </w:tcPr>
          <w:p w14:paraId="0D5B23C5"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575</w:t>
            </w:r>
          </w:p>
        </w:tc>
        <w:tc>
          <w:tcPr>
            <w:tcW w:w="474" w:type="pct"/>
            <w:tcBorders>
              <w:top w:val="nil"/>
              <w:left w:val="nil"/>
              <w:bottom w:val="nil"/>
              <w:right w:val="nil"/>
            </w:tcBorders>
            <w:shd w:val="clear" w:color="000000" w:fill="FFFFFF"/>
            <w:noWrap/>
            <w:vAlign w:val="center"/>
            <w:hideMark/>
          </w:tcPr>
          <w:p w14:paraId="7C780039"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39" w:type="pct"/>
            <w:tcBorders>
              <w:top w:val="nil"/>
              <w:left w:val="nil"/>
              <w:bottom w:val="nil"/>
              <w:right w:val="nil"/>
            </w:tcBorders>
            <w:shd w:val="clear" w:color="000000" w:fill="FFFFFF"/>
            <w:noWrap/>
            <w:vAlign w:val="center"/>
            <w:hideMark/>
          </w:tcPr>
          <w:p w14:paraId="22AD8BBC"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01" w:type="pct"/>
            <w:tcBorders>
              <w:top w:val="nil"/>
              <w:left w:val="nil"/>
              <w:bottom w:val="nil"/>
              <w:right w:val="nil"/>
            </w:tcBorders>
            <w:shd w:val="clear" w:color="000000" w:fill="FFFFFF"/>
            <w:noWrap/>
            <w:vAlign w:val="center"/>
            <w:hideMark/>
          </w:tcPr>
          <w:p w14:paraId="76D67D0A"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636</w:t>
            </w:r>
          </w:p>
        </w:tc>
      </w:tr>
      <w:tr w:rsidR="00B10372" w:rsidRPr="0081325D" w14:paraId="59F27B8C" w14:textId="77777777" w:rsidTr="00382B43">
        <w:trPr>
          <w:trHeight w:val="418"/>
        </w:trPr>
        <w:tc>
          <w:tcPr>
            <w:tcW w:w="1885" w:type="pct"/>
            <w:tcBorders>
              <w:top w:val="nil"/>
              <w:left w:val="nil"/>
              <w:bottom w:val="nil"/>
              <w:right w:val="nil"/>
            </w:tcBorders>
            <w:shd w:val="clear" w:color="auto" w:fill="auto"/>
            <w:noWrap/>
            <w:vAlign w:val="center"/>
            <w:hideMark/>
          </w:tcPr>
          <w:p w14:paraId="02F64051" w14:textId="77777777" w:rsidR="00B10372" w:rsidRPr="0081325D" w:rsidRDefault="00B10372" w:rsidP="00382B43">
            <w:pPr>
              <w:rPr>
                <w:rFonts w:ascii="Calibri" w:hAnsi="Calibri" w:cs="Calibri"/>
                <w:color w:val="000000"/>
                <w:lang w:eastAsia="en-GB"/>
              </w:rPr>
            </w:pPr>
            <w:r w:rsidRPr="0081325D">
              <w:rPr>
                <w:rFonts w:ascii="Calibri" w:hAnsi="Calibri" w:cs="Calibri"/>
                <w:color w:val="000000"/>
                <w:lang w:eastAsia="en-GB"/>
              </w:rPr>
              <w:t>Share Issue Costs</w:t>
            </w:r>
          </w:p>
        </w:tc>
        <w:tc>
          <w:tcPr>
            <w:tcW w:w="519" w:type="pct"/>
            <w:tcBorders>
              <w:top w:val="nil"/>
              <w:left w:val="nil"/>
              <w:bottom w:val="nil"/>
              <w:right w:val="nil"/>
            </w:tcBorders>
            <w:shd w:val="clear" w:color="000000" w:fill="FFFFFF"/>
            <w:noWrap/>
            <w:vAlign w:val="center"/>
            <w:hideMark/>
          </w:tcPr>
          <w:p w14:paraId="3C0E1720"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47" w:type="pct"/>
            <w:tcBorders>
              <w:top w:val="nil"/>
              <w:left w:val="nil"/>
              <w:bottom w:val="nil"/>
              <w:right w:val="nil"/>
            </w:tcBorders>
            <w:shd w:val="clear" w:color="000000" w:fill="FFFFFF"/>
            <w:noWrap/>
            <w:vAlign w:val="center"/>
            <w:hideMark/>
          </w:tcPr>
          <w:p w14:paraId="039A0D35" w14:textId="77777777" w:rsidR="00B10372" w:rsidRPr="0081325D" w:rsidRDefault="00B10372" w:rsidP="00382B43">
            <w:pPr>
              <w:jc w:val="right"/>
              <w:rPr>
                <w:rFonts w:ascii="Calibri" w:hAnsi="Calibri" w:cs="Calibri"/>
                <w:lang w:eastAsia="en-GB"/>
              </w:rPr>
            </w:pPr>
            <w:r w:rsidRPr="0081325D">
              <w:rPr>
                <w:rFonts w:ascii="Calibri" w:hAnsi="Calibri" w:cs="Calibri"/>
                <w:color w:val="000000"/>
                <w:lang w:eastAsia="en-GB"/>
              </w:rPr>
              <w:t>(202)</w:t>
            </w:r>
          </w:p>
        </w:tc>
        <w:tc>
          <w:tcPr>
            <w:tcW w:w="536" w:type="pct"/>
            <w:tcBorders>
              <w:top w:val="nil"/>
              <w:left w:val="nil"/>
              <w:bottom w:val="nil"/>
              <w:right w:val="nil"/>
            </w:tcBorders>
            <w:shd w:val="clear" w:color="000000" w:fill="FFFFFF"/>
            <w:noWrap/>
            <w:vAlign w:val="center"/>
            <w:hideMark/>
          </w:tcPr>
          <w:p w14:paraId="47F967EB"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474" w:type="pct"/>
            <w:tcBorders>
              <w:top w:val="nil"/>
              <w:left w:val="nil"/>
              <w:bottom w:val="nil"/>
              <w:right w:val="nil"/>
            </w:tcBorders>
            <w:shd w:val="clear" w:color="000000" w:fill="FFFFFF"/>
            <w:noWrap/>
            <w:vAlign w:val="center"/>
            <w:hideMark/>
          </w:tcPr>
          <w:p w14:paraId="46148F04"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39" w:type="pct"/>
            <w:tcBorders>
              <w:top w:val="nil"/>
              <w:left w:val="nil"/>
              <w:bottom w:val="nil"/>
              <w:right w:val="nil"/>
            </w:tcBorders>
            <w:shd w:val="clear" w:color="000000" w:fill="FFFFFF"/>
            <w:noWrap/>
            <w:vAlign w:val="center"/>
            <w:hideMark/>
          </w:tcPr>
          <w:p w14:paraId="1DBF74D5"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01" w:type="pct"/>
            <w:tcBorders>
              <w:top w:val="nil"/>
              <w:left w:val="nil"/>
              <w:bottom w:val="nil"/>
              <w:right w:val="nil"/>
            </w:tcBorders>
            <w:shd w:val="clear" w:color="000000" w:fill="FFFFFF"/>
            <w:noWrap/>
            <w:vAlign w:val="center"/>
            <w:hideMark/>
          </w:tcPr>
          <w:p w14:paraId="54F1C3D4" w14:textId="77777777" w:rsidR="00B10372" w:rsidRPr="0081325D" w:rsidRDefault="00B10372" w:rsidP="00382B43">
            <w:pPr>
              <w:jc w:val="right"/>
              <w:rPr>
                <w:rFonts w:ascii="Calibri" w:hAnsi="Calibri" w:cs="Calibri"/>
                <w:lang w:eastAsia="en-GB"/>
              </w:rPr>
            </w:pPr>
            <w:r w:rsidRPr="0081325D">
              <w:rPr>
                <w:rFonts w:ascii="Calibri" w:hAnsi="Calibri" w:cs="Calibri"/>
                <w:color w:val="000000"/>
                <w:lang w:eastAsia="en-GB"/>
              </w:rPr>
              <w:t>(202)</w:t>
            </w:r>
          </w:p>
        </w:tc>
      </w:tr>
      <w:tr w:rsidR="00B10372" w:rsidRPr="0081325D" w14:paraId="4CAEE3CA" w14:textId="77777777" w:rsidTr="00382B43">
        <w:trPr>
          <w:trHeight w:val="418"/>
        </w:trPr>
        <w:tc>
          <w:tcPr>
            <w:tcW w:w="1885" w:type="pct"/>
            <w:tcBorders>
              <w:top w:val="single" w:sz="4" w:space="0" w:color="auto"/>
              <w:left w:val="nil"/>
              <w:bottom w:val="single" w:sz="4" w:space="0" w:color="auto"/>
              <w:right w:val="nil"/>
            </w:tcBorders>
            <w:shd w:val="clear" w:color="auto" w:fill="auto"/>
            <w:noWrap/>
            <w:vAlign w:val="center"/>
            <w:hideMark/>
          </w:tcPr>
          <w:p w14:paraId="467A9A67" w14:textId="77777777" w:rsidR="00B10372" w:rsidRPr="0081325D" w:rsidRDefault="00B10372" w:rsidP="00382B43">
            <w:pPr>
              <w:rPr>
                <w:rFonts w:ascii="Calibri" w:hAnsi="Calibri" w:cs="Calibri"/>
                <w:color w:val="000000"/>
                <w:lang w:eastAsia="en-GB"/>
              </w:rPr>
            </w:pPr>
            <w:r w:rsidRPr="0081325D">
              <w:rPr>
                <w:rFonts w:ascii="Calibri" w:hAnsi="Calibri" w:cs="Calibri"/>
                <w:color w:val="000000"/>
                <w:lang w:eastAsia="en-GB"/>
              </w:rPr>
              <w:t>Transactions with owners</w:t>
            </w:r>
          </w:p>
        </w:tc>
        <w:tc>
          <w:tcPr>
            <w:tcW w:w="519" w:type="pct"/>
            <w:tcBorders>
              <w:top w:val="single" w:sz="4" w:space="0" w:color="auto"/>
              <w:left w:val="nil"/>
              <w:bottom w:val="single" w:sz="4" w:space="0" w:color="auto"/>
              <w:right w:val="nil"/>
            </w:tcBorders>
            <w:shd w:val="clear" w:color="000000" w:fill="FFFFFF"/>
            <w:noWrap/>
            <w:vAlign w:val="center"/>
            <w:hideMark/>
          </w:tcPr>
          <w:p w14:paraId="68823483"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297</w:t>
            </w:r>
          </w:p>
        </w:tc>
        <w:tc>
          <w:tcPr>
            <w:tcW w:w="547" w:type="pct"/>
            <w:tcBorders>
              <w:top w:val="single" w:sz="4" w:space="0" w:color="auto"/>
              <w:left w:val="nil"/>
              <w:bottom w:val="single" w:sz="4" w:space="0" w:color="auto"/>
              <w:right w:val="nil"/>
            </w:tcBorders>
            <w:shd w:val="clear" w:color="000000" w:fill="FFFFFF"/>
            <w:noWrap/>
            <w:vAlign w:val="center"/>
            <w:hideMark/>
          </w:tcPr>
          <w:p w14:paraId="66257049"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2,810</w:t>
            </w:r>
          </w:p>
        </w:tc>
        <w:tc>
          <w:tcPr>
            <w:tcW w:w="536" w:type="pct"/>
            <w:tcBorders>
              <w:top w:val="single" w:sz="4" w:space="0" w:color="auto"/>
              <w:left w:val="nil"/>
              <w:bottom w:val="single" w:sz="4" w:space="0" w:color="auto"/>
              <w:right w:val="nil"/>
            </w:tcBorders>
            <w:shd w:val="clear" w:color="000000" w:fill="FFFFFF"/>
            <w:noWrap/>
            <w:vAlign w:val="center"/>
            <w:hideMark/>
          </w:tcPr>
          <w:p w14:paraId="45519389"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575</w:t>
            </w:r>
          </w:p>
        </w:tc>
        <w:tc>
          <w:tcPr>
            <w:tcW w:w="474" w:type="pct"/>
            <w:tcBorders>
              <w:top w:val="single" w:sz="4" w:space="0" w:color="auto"/>
              <w:left w:val="nil"/>
              <w:bottom w:val="single" w:sz="4" w:space="0" w:color="auto"/>
              <w:right w:val="nil"/>
            </w:tcBorders>
            <w:shd w:val="clear" w:color="000000" w:fill="FFFFFF"/>
            <w:noWrap/>
            <w:vAlign w:val="center"/>
            <w:hideMark/>
          </w:tcPr>
          <w:p w14:paraId="6595C1A3"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39" w:type="pct"/>
            <w:tcBorders>
              <w:top w:val="single" w:sz="4" w:space="0" w:color="auto"/>
              <w:left w:val="nil"/>
              <w:bottom w:val="single" w:sz="4" w:space="0" w:color="auto"/>
              <w:right w:val="nil"/>
            </w:tcBorders>
            <w:shd w:val="clear" w:color="000000" w:fill="FFFFFF"/>
            <w:noWrap/>
            <w:vAlign w:val="center"/>
            <w:hideMark/>
          </w:tcPr>
          <w:p w14:paraId="3D32865F"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01" w:type="pct"/>
            <w:tcBorders>
              <w:top w:val="single" w:sz="4" w:space="0" w:color="auto"/>
              <w:left w:val="nil"/>
              <w:bottom w:val="single" w:sz="4" w:space="0" w:color="auto"/>
              <w:right w:val="nil"/>
            </w:tcBorders>
            <w:shd w:val="clear" w:color="000000" w:fill="FFFFFF"/>
            <w:noWrap/>
            <w:vAlign w:val="center"/>
            <w:hideMark/>
          </w:tcPr>
          <w:p w14:paraId="5659C387"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3,682</w:t>
            </w:r>
          </w:p>
        </w:tc>
      </w:tr>
      <w:tr w:rsidR="00B10372" w:rsidRPr="0081325D" w14:paraId="0E218831" w14:textId="77777777" w:rsidTr="00382B43">
        <w:trPr>
          <w:trHeight w:val="418"/>
        </w:trPr>
        <w:tc>
          <w:tcPr>
            <w:tcW w:w="1885" w:type="pct"/>
            <w:tcBorders>
              <w:top w:val="nil"/>
              <w:left w:val="nil"/>
              <w:bottom w:val="double" w:sz="6" w:space="0" w:color="auto"/>
              <w:right w:val="nil"/>
            </w:tcBorders>
            <w:shd w:val="clear" w:color="auto" w:fill="auto"/>
            <w:noWrap/>
            <w:vAlign w:val="center"/>
            <w:hideMark/>
          </w:tcPr>
          <w:p w14:paraId="6C659CBD" w14:textId="77777777" w:rsidR="00B10372" w:rsidRPr="0081325D" w:rsidRDefault="00B10372" w:rsidP="00382B43">
            <w:pPr>
              <w:rPr>
                <w:rFonts w:ascii="Calibri" w:hAnsi="Calibri" w:cs="Calibri"/>
                <w:b/>
                <w:bCs/>
                <w:color w:val="000000"/>
                <w:lang w:eastAsia="en-GB"/>
              </w:rPr>
            </w:pPr>
            <w:r w:rsidRPr="0081325D">
              <w:rPr>
                <w:rFonts w:ascii="Calibri" w:hAnsi="Calibri" w:cs="Calibri"/>
                <w:b/>
                <w:bCs/>
                <w:color w:val="000000"/>
                <w:lang w:eastAsia="en-GB"/>
              </w:rPr>
              <w:t xml:space="preserve">Balance </w:t>
            </w:r>
            <w:proofErr w:type="gramStart"/>
            <w:r w:rsidRPr="0081325D">
              <w:rPr>
                <w:rFonts w:ascii="Calibri" w:hAnsi="Calibri" w:cs="Calibri"/>
                <w:b/>
                <w:bCs/>
                <w:color w:val="000000"/>
                <w:lang w:eastAsia="en-GB"/>
              </w:rPr>
              <w:t>at</w:t>
            </w:r>
            <w:proofErr w:type="gramEnd"/>
            <w:r w:rsidRPr="0081325D">
              <w:rPr>
                <w:rFonts w:ascii="Calibri" w:hAnsi="Calibri" w:cs="Calibri"/>
                <w:b/>
                <w:bCs/>
                <w:color w:val="000000"/>
                <w:lang w:eastAsia="en-GB"/>
              </w:rPr>
              <w:t xml:space="preserve"> 30 November 2021</w:t>
            </w:r>
          </w:p>
        </w:tc>
        <w:tc>
          <w:tcPr>
            <w:tcW w:w="519" w:type="pct"/>
            <w:tcBorders>
              <w:top w:val="nil"/>
              <w:left w:val="nil"/>
              <w:bottom w:val="double" w:sz="6" w:space="0" w:color="auto"/>
              <w:right w:val="nil"/>
            </w:tcBorders>
            <w:shd w:val="clear" w:color="000000" w:fill="FFFFFF"/>
            <w:noWrap/>
            <w:vAlign w:val="center"/>
            <w:hideMark/>
          </w:tcPr>
          <w:p w14:paraId="113AEF21"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297</w:t>
            </w:r>
          </w:p>
        </w:tc>
        <w:tc>
          <w:tcPr>
            <w:tcW w:w="547" w:type="pct"/>
            <w:tcBorders>
              <w:top w:val="nil"/>
              <w:left w:val="nil"/>
              <w:bottom w:val="double" w:sz="6" w:space="0" w:color="auto"/>
              <w:right w:val="nil"/>
            </w:tcBorders>
            <w:shd w:val="clear" w:color="000000" w:fill="FFFFFF"/>
            <w:noWrap/>
            <w:vAlign w:val="center"/>
            <w:hideMark/>
          </w:tcPr>
          <w:p w14:paraId="1CF49131"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2,810</w:t>
            </w:r>
          </w:p>
        </w:tc>
        <w:tc>
          <w:tcPr>
            <w:tcW w:w="536" w:type="pct"/>
            <w:tcBorders>
              <w:top w:val="nil"/>
              <w:left w:val="nil"/>
              <w:bottom w:val="double" w:sz="6" w:space="0" w:color="auto"/>
              <w:right w:val="nil"/>
            </w:tcBorders>
            <w:shd w:val="clear" w:color="000000" w:fill="FFFFFF"/>
            <w:noWrap/>
            <w:vAlign w:val="center"/>
            <w:hideMark/>
          </w:tcPr>
          <w:p w14:paraId="6D72D439"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575</w:t>
            </w:r>
          </w:p>
        </w:tc>
        <w:tc>
          <w:tcPr>
            <w:tcW w:w="474" w:type="pct"/>
            <w:tcBorders>
              <w:top w:val="nil"/>
              <w:left w:val="nil"/>
              <w:bottom w:val="double" w:sz="6" w:space="0" w:color="auto"/>
              <w:right w:val="nil"/>
            </w:tcBorders>
            <w:shd w:val="clear" w:color="000000" w:fill="FFFFFF"/>
            <w:noWrap/>
            <w:vAlign w:val="center"/>
            <w:hideMark/>
          </w:tcPr>
          <w:p w14:paraId="69447D39"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w:t>
            </w:r>
          </w:p>
        </w:tc>
        <w:tc>
          <w:tcPr>
            <w:tcW w:w="539" w:type="pct"/>
            <w:tcBorders>
              <w:top w:val="nil"/>
              <w:left w:val="nil"/>
              <w:bottom w:val="double" w:sz="6" w:space="0" w:color="auto"/>
              <w:right w:val="nil"/>
            </w:tcBorders>
            <w:shd w:val="clear" w:color="000000" w:fill="FFFFFF"/>
            <w:noWrap/>
            <w:vAlign w:val="center"/>
            <w:hideMark/>
          </w:tcPr>
          <w:p w14:paraId="0384F0EB" w14:textId="77777777" w:rsidR="00B10372" w:rsidRPr="0081325D" w:rsidRDefault="00B10372" w:rsidP="00382B43">
            <w:pPr>
              <w:jc w:val="right"/>
              <w:rPr>
                <w:rFonts w:ascii="Calibri" w:hAnsi="Calibri" w:cs="Calibri"/>
                <w:b/>
                <w:bCs/>
                <w:lang w:eastAsia="en-GB"/>
              </w:rPr>
            </w:pPr>
            <w:r w:rsidRPr="0081325D">
              <w:rPr>
                <w:rFonts w:ascii="Calibri" w:hAnsi="Calibri" w:cs="Calibri"/>
                <w:b/>
                <w:bCs/>
                <w:color w:val="000000"/>
                <w:lang w:eastAsia="en-GB"/>
              </w:rPr>
              <w:t>(1,269)</w:t>
            </w:r>
          </w:p>
        </w:tc>
        <w:tc>
          <w:tcPr>
            <w:tcW w:w="501" w:type="pct"/>
            <w:tcBorders>
              <w:top w:val="nil"/>
              <w:left w:val="nil"/>
              <w:bottom w:val="double" w:sz="6" w:space="0" w:color="auto"/>
              <w:right w:val="nil"/>
            </w:tcBorders>
            <w:shd w:val="clear" w:color="000000" w:fill="FFFFFF"/>
            <w:noWrap/>
            <w:vAlign w:val="center"/>
            <w:hideMark/>
          </w:tcPr>
          <w:p w14:paraId="1E1B087E"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2,413</w:t>
            </w:r>
          </w:p>
        </w:tc>
      </w:tr>
      <w:tr w:rsidR="00B10372" w:rsidRPr="0081325D" w14:paraId="43039828" w14:textId="77777777" w:rsidTr="00382B43">
        <w:trPr>
          <w:trHeight w:val="418"/>
        </w:trPr>
        <w:tc>
          <w:tcPr>
            <w:tcW w:w="1885" w:type="pct"/>
            <w:tcBorders>
              <w:top w:val="nil"/>
              <w:left w:val="nil"/>
              <w:bottom w:val="nil"/>
              <w:right w:val="nil"/>
            </w:tcBorders>
            <w:shd w:val="clear" w:color="auto" w:fill="auto"/>
            <w:noWrap/>
            <w:vAlign w:val="center"/>
            <w:hideMark/>
          </w:tcPr>
          <w:p w14:paraId="37727F0B" w14:textId="77777777" w:rsidR="00B10372" w:rsidRPr="0081325D" w:rsidRDefault="00B10372" w:rsidP="00382B43">
            <w:pPr>
              <w:jc w:val="right"/>
              <w:rPr>
                <w:rFonts w:ascii="Calibri" w:hAnsi="Calibri" w:cs="Calibri"/>
                <w:b/>
                <w:bCs/>
                <w:lang w:eastAsia="en-GB"/>
              </w:rPr>
            </w:pPr>
          </w:p>
        </w:tc>
        <w:tc>
          <w:tcPr>
            <w:tcW w:w="519" w:type="pct"/>
            <w:tcBorders>
              <w:top w:val="nil"/>
              <w:left w:val="nil"/>
              <w:bottom w:val="nil"/>
              <w:right w:val="nil"/>
            </w:tcBorders>
            <w:shd w:val="clear" w:color="auto" w:fill="auto"/>
            <w:noWrap/>
            <w:vAlign w:val="center"/>
            <w:hideMark/>
          </w:tcPr>
          <w:p w14:paraId="3E808829" w14:textId="77777777" w:rsidR="00B10372" w:rsidRPr="0081325D" w:rsidRDefault="00B10372" w:rsidP="00382B43">
            <w:pPr>
              <w:rPr>
                <w:sz w:val="20"/>
                <w:szCs w:val="20"/>
                <w:lang w:eastAsia="en-GB"/>
              </w:rPr>
            </w:pPr>
          </w:p>
        </w:tc>
        <w:tc>
          <w:tcPr>
            <w:tcW w:w="547" w:type="pct"/>
            <w:tcBorders>
              <w:top w:val="nil"/>
              <w:left w:val="nil"/>
              <w:bottom w:val="nil"/>
              <w:right w:val="nil"/>
            </w:tcBorders>
            <w:shd w:val="clear" w:color="auto" w:fill="auto"/>
            <w:noWrap/>
            <w:vAlign w:val="center"/>
            <w:hideMark/>
          </w:tcPr>
          <w:p w14:paraId="63F46B74" w14:textId="77777777" w:rsidR="00B10372" w:rsidRPr="0081325D" w:rsidRDefault="00B10372" w:rsidP="00382B43">
            <w:pPr>
              <w:rPr>
                <w:sz w:val="20"/>
                <w:szCs w:val="20"/>
                <w:lang w:eastAsia="en-GB"/>
              </w:rPr>
            </w:pPr>
          </w:p>
        </w:tc>
        <w:tc>
          <w:tcPr>
            <w:tcW w:w="536" w:type="pct"/>
            <w:tcBorders>
              <w:top w:val="nil"/>
              <w:left w:val="nil"/>
              <w:bottom w:val="nil"/>
              <w:right w:val="nil"/>
            </w:tcBorders>
            <w:shd w:val="clear" w:color="auto" w:fill="auto"/>
            <w:noWrap/>
            <w:vAlign w:val="center"/>
            <w:hideMark/>
          </w:tcPr>
          <w:p w14:paraId="32CB23D3" w14:textId="77777777" w:rsidR="00B10372" w:rsidRPr="0081325D" w:rsidRDefault="00B10372" w:rsidP="00382B43">
            <w:pPr>
              <w:rPr>
                <w:sz w:val="20"/>
                <w:szCs w:val="20"/>
                <w:lang w:eastAsia="en-GB"/>
              </w:rPr>
            </w:pPr>
          </w:p>
        </w:tc>
        <w:tc>
          <w:tcPr>
            <w:tcW w:w="474" w:type="pct"/>
            <w:tcBorders>
              <w:top w:val="nil"/>
              <w:left w:val="nil"/>
              <w:bottom w:val="nil"/>
              <w:right w:val="nil"/>
            </w:tcBorders>
            <w:shd w:val="clear" w:color="auto" w:fill="auto"/>
            <w:noWrap/>
            <w:vAlign w:val="center"/>
            <w:hideMark/>
          </w:tcPr>
          <w:p w14:paraId="362A1199" w14:textId="77777777" w:rsidR="00B10372" w:rsidRPr="0081325D" w:rsidRDefault="00B10372" w:rsidP="00382B43">
            <w:pPr>
              <w:rPr>
                <w:sz w:val="20"/>
                <w:szCs w:val="20"/>
                <w:lang w:eastAsia="en-GB"/>
              </w:rPr>
            </w:pPr>
          </w:p>
        </w:tc>
        <w:tc>
          <w:tcPr>
            <w:tcW w:w="539" w:type="pct"/>
            <w:tcBorders>
              <w:top w:val="nil"/>
              <w:left w:val="nil"/>
              <w:bottom w:val="nil"/>
              <w:right w:val="nil"/>
            </w:tcBorders>
            <w:shd w:val="clear" w:color="auto" w:fill="auto"/>
            <w:noWrap/>
            <w:vAlign w:val="center"/>
            <w:hideMark/>
          </w:tcPr>
          <w:p w14:paraId="06F1DA0D" w14:textId="77777777" w:rsidR="00B10372" w:rsidRPr="0081325D" w:rsidRDefault="00B10372" w:rsidP="00382B43">
            <w:pPr>
              <w:rPr>
                <w:sz w:val="20"/>
                <w:szCs w:val="20"/>
                <w:lang w:eastAsia="en-GB"/>
              </w:rPr>
            </w:pPr>
          </w:p>
        </w:tc>
        <w:tc>
          <w:tcPr>
            <w:tcW w:w="501" w:type="pct"/>
            <w:tcBorders>
              <w:top w:val="nil"/>
              <w:left w:val="nil"/>
              <w:bottom w:val="nil"/>
              <w:right w:val="nil"/>
            </w:tcBorders>
            <w:shd w:val="clear" w:color="auto" w:fill="auto"/>
            <w:noWrap/>
            <w:vAlign w:val="center"/>
            <w:hideMark/>
          </w:tcPr>
          <w:p w14:paraId="0746D26F" w14:textId="77777777" w:rsidR="00B10372" w:rsidRPr="0081325D" w:rsidRDefault="00B10372" w:rsidP="00382B43">
            <w:pPr>
              <w:rPr>
                <w:sz w:val="20"/>
                <w:szCs w:val="20"/>
                <w:lang w:eastAsia="en-GB"/>
              </w:rPr>
            </w:pPr>
          </w:p>
        </w:tc>
      </w:tr>
      <w:tr w:rsidR="00B10372" w:rsidRPr="0081325D" w14:paraId="20BC1787" w14:textId="77777777" w:rsidTr="00382B43">
        <w:trPr>
          <w:trHeight w:val="418"/>
        </w:trPr>
        <w:tc>
          <w:tcPr>
            <w:tcW w:w="1885" w:type="pct"/>
            <w:tcBorders>
              <w:top w:val="nil"/>
              <w:left w:val="nil"/>
              <w:bottom w:val="nil"/>
              <w:right w:val="nil"/>
            </w:tcBorders>
            <w:shd w:val="clear" w:color="auto" w:fill="auto"/>
            <w:noWrap/>
            <w:vAlign w:val="center"/>
            <w:hideMark/>
          </w:tcPr>
          <w:p w14:paraId="7BF11A55" w14:textId="77777777" w:rsidR="00B10372" w:rsidRPr="0081325D" w:rsidRDefault="00B10372" w:rsidP="00382B43">
            <w:pPr>
              <w:rPr>
                <w:rFonts w:ascii="Calibri" w:hAnsi="Calibri" w:cs="Calibri"/>
                <w:color w:val="000000"/>
                <w:lang w:eastAsia="en-GB"/>
              </w:rPr>
            </w:pPr>
            <w:r w:rsidRPr="0081325D">
              <w:rPr>
                <w:rFonts w:ascii="Calibri" w:hAnsi="Calibri" w:cs="Calibri"/>
                <w:color w:val="000000"/>
                <w:lang w:eastAsia="en-GB"/>
              </w:rPr>
              <w:t>Loss for period</w:t>
            </w:r>
          </w:p>
        </w:tc>
        <w:tc>
          <w:tcPr>
            <w:tcW w:w="519" w:type="pct"/>
            <w:tcBorders>
              <w:top w:val="nil"/>
              <w:left w:val="nil"/>
              <w:bottom w:val="nil"/>
              <w:right w:val="nil"/>
            </w:tcBorders>
            <w:shd w:val="clear" w:color="000000" w:fill="FFFFFF"/>
            <w:noWrap/>
            <w:vAlign w:val="center"/>
            <w:hideMark/>
          </w:tcPr>
          <w:p w14:paraId="6B8C2CFB"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47" w:type="pct"/>
            <w:tcBorders>
              <w:top w:val="nil"/>
              <w:left w:val="nil"/>
              <w:bottom w:val="nil"/>
              <w:right w:val="nil"/>
            </w:tcBorders>
            <w:shd w:val="clear" w:color="000000" w:fill="FFFFFF"/>
            <w:noWrap/>
            <w:vAlign w:val="center"/>
            <w:hideMark/>
          </w:tcPr>
          <w:p w14:paraId="7BA68DFE"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36" w:type="pct"/>
            <w:tcBorders>
              <w:top w:val="nil"/>
              <w:left w:val="nil"/>
              <w:bottom w:val="nil"/>
              <w:right w:val="nil"/>
            </w:tcBorders>
            <w:shd w:val="clear" w:color="000000" w:fill="FFFFFF"/>
            <w:noWrap/>
            <w:vAlign w:val="center"/>
            <w:hideMark/>
          </w:tcPr>
          <w:p w14:paraId="3FA2505F"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474" w:type="pct"/>
            <w:tcBorders>
              <w:top w:val="nil"/>
              <w:left w:val="nil"/>
              <w:bottom w:val="nil"/>
              <w:right w:val="nil"/>
            </w:tcBorders>
            <w:shd w:val="clear" w:color="000000" w:fill="FFFFFF"/>
            <w:noWrap/>
            <w:vAlign w:val="center"/>
            <w:hideMark/>
          </w:tcPr>
          <w:p w14:paraId="50F2132B"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39" w:type="pct"/>
            <w:tcBorders>
              <w:top w:val="nil"/>
              <w:left w:val="nil"/>
              <w:bottom w:val="nil"/>
              <w:right w:val="nil"/>
            </w:tcBorders>
            <w:shd w:val="clear" w:color="000000" w:fill="FFFFFF"/>
            <w:noWrap/>
            <w:vAlign w:val="center"/>
            <w:hideMark/>
          </w:tcPr>
          <w:p w14:paraId="71D63D79" w14:textId="77777777" w:rsidR="00B10372" w:rsidRPr="0081325D" w:rsidRDefault="00B10372" w:rsidP="00382B43">
            <w:pPr>
              <w:jc w:val="right"/>
              <w:rPr>
                <w:rFonts w:ascii="Calibri" w:hAnsi="Calibri" w:cs="Calibri"/>
                <w:lang w:eastAsia="en-GB"/>
              </w:rPr>
            </w:pPr>
            <w:r w:rsidRPr="0081325D">
              <w:rPr>
                <w:rFonts w:ascii="Calibri" w:hAnsi="Calibri" w:cs="Calibri"/>
                <w:color w:val="000000"/>
                <w:lang w:eastAsia="en-GB"/>
              </w:rPr>
              <w:t>(1,011)</w:t>
            </w:r>
          </w:p>
        </w:tc>
        <w:tc>
          <w:tcPr>
            <w:tcW w:w="501" w:type="pct"/>
            <w:tcBorders>
              <w:top w:val="nil"/>
              <w:left w:val="nil"/>
              <w:bottom w:val="nil"/>
              <w:right w:val="nil"/>
            </w:tcBorders>
            <w:shd w:val="clear" w:color="000000" w:fill="FFFFFF"/>
            <w:noWrap/>
            <w:vAlign w:val="center"/>
            <w:hideMark/>
          </w:tcPr>
          <w:p w14:paraId="43013787" w14:textId="77777777" w:rsidR="00B10372" w:rsidRPr="0081325D" w:rsidRDefault="00B10372" w:rsidP="00382B43">
            <w:pPr>
              <w:jc w:val="right"/>
              <w:rPr>
                <w:rFonts w:ascii="Calibri" w:hAnsi="Calibri" w:cs="Calibri"/>
                <w:lang w:eastAsia="en-GB"/>
              </w:rPr>
            </w:pPr>
            <w:r w:rsidRPr="0081325D">
              <w:rPr>
                <w:rFonts w:ascii="Calibri" w:hAnsi="Calibri" w:cs="Calibri"/>
                <w:color w:val="000000"/>
                <w:lang w:eastAsia="en-GB"/>
              </w:rPr>
              <w:t>(1,011)</w:t>
            </w:r>
          </w:p>
        </w:tc>
      </w:tr>
      <w:tr w:rsidR="00B10372" w:rsidRPr="0081325D" w14:paraId="12B343D8" w14:textId="77777777" w:rsidTr="00382B43">
        <w:trPr>
          <w:trHeight w:val="418"/>
        </w:trPr>
        <w:tc>
          <w:tcPr>
            <w:tcW w:w="1885" w:type="pct"/>
            <w:tcBorders>
              <w:top w:val="nil"/>
              <w:left w:val="nil"/>
              <w:bottom w:val="nil"/>
              <w:right w:val="nil"/>
            </w:tcBorders>
            <w:shd w:val="clear" w:color="auto" w:fill="auto"/>
            <w:noWrap/>
            <w:vAlign w:val="center"/>
            <w:hideMark/>
          </w:tcPr>
          <w:p w14:paraId="6ADF5594" w14:textId="77777777" w:rsidR="00B10372" w:rsidRPr="0081325D" w:rsidRDefault="00B10372" w:rsidP="00382B43">
            <w:pPr>
              <w:rPr>
                <w:rFonts w:ascii="Calibri" w:hAnsi="Calibri" w:cs="Calibri"/>
                <w:color w:val="000000"/>
                <w:lang w:eastAsia="en-GB"/>
              </w:rPr>
            </w:pPr>
            <w:r w:rsidRPr="0081325D">
              <w:rPr>
                <w:rFonts w:ascii="Calibri" w:hAnsi="Calibri" w:cs="Calibri"/>
                <w:color w:val="000000"/>
                <w:lang w:eastAsia="en-GB"/>
              </w:rPr>
              <w:t>Other comprehensive income</w:t>
            </w:r>
          </w:p>
        </w:tc>
        <w:tc>
          <w:tcPr>
            <w:tcW w:w="519" w:type="pct"/>
            <w:tcBorders>
              <w:top w:val="nil"/>
              <w:left w:val="nil"/>
              <w:bottom w:val="nil"/>
              <w:right w:val="nil"/>
            </w:tcBorders>
            <w:shd w:val="clear" w:color="000000" w:fill="FFFFFF"/>
            <w:noWrap/>
            <w:vAlign w:val="center"/>
            <w:hideMark/>
          </w:tcPr>
          <w:p w14:paraId="14E3102B"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47" w:type="pct"/>
            <w:tcBorders>
              <w:top w:val="nil"/>
              <w:left w:val="nil"/>
              <w:bottom w:val="nil"/>
              <w:right w:val="nil"/>
            </w:tcBorders>
            <w:shd w:val="clear" w:color="000000" w:fill="FFFFFF"/>
            <w:noWrap/>
            <w:vAlign w:val="center"/>
            <w:hideMark/>
          </w:tcPr>
          <w:p w14:paraId="65F00FC5"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36" w:type="pct"/>
            <w:tcBorders>
              <w:top w:val="nil"/>
              <w:left w:val="nil"/>
              <w:bottom w:val="nil"/>
              <w:right w:val="nil"/>
            </w:tcBorders>
            <w:shd w:val="clear" w:color="000000" w:fill="FFFFFF"/>
            <w:noWrap/>
            <w:vAlign w:val="center"/>
            <w:hideMark/>
          </w:tcPr>
          <w:p w14:paraId="4599E3B7"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474" w:type="pct"/>
            <w:tcBorders>
              <w:top w:val="nil"/>
              <w:left w:val="nil"/>
              <w:bottom w:val="nil"/>
              <w:right w:val="nil"/>
            </w:tcBorders>
            <w:shd w:val="clear" w:color="000000" w:fill="FFFFFF"/>
            <w:noWrap/>
            <w:vAlign w:val="center"/>
            <w:hideMark/>
          </w:tcPr>
          <w:p w14:paraId="3BC1B394"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39" w:type="pct"/>
            <w:tcBorders>
              <w:top w:val="nil"/>
              <w:left w:val="nil"/>
              <w:bottom w:val="nil"/>
              <w:right w:val="nil"/>
            </w:tcBorders>
            <w:shd w:val="clear" w:color="000000" w:fill="FFFFFF"/>
            <w:noWrap/>
            <w:vAlign w:val="center"/>
            <w:hideMark/>
          </w:tcPr>
          <w:p w14:paraId="11131547"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5</w:t>
            </w:r>
          </w:p>
        </w:tc>
        <w:tc>
          <w:tcPr>
            <w:tcW w:w="501" w:type="pct"/>
            <w:tcBorders>
              <w:top w:val="nil"/>
              <w:left w:val="nil"/>
              <w:bottom w:val="nil"/>
              <w:right w:val="nil"/>
            </w:tcBorders>
            <w:shd w:val="clear" w:color="000000" w:fill="FFFFFF"/>
            <w:noWrap/>
            <w:vAlign w:val="center"/>
            <w:hideMark/>
          </w:tcPr>
          <w:p w14:paraId="2423F679"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5</w:t>
            </w:r>
          </w:p>
        </w:tc>
      </w:tr>
      <w:tr w:rsidR="00B10372" w:rsidRPr="0081325D" w14:paraId="0115A13E" w14:textId="77777777" w:rsidTr="00382B43">
        <w:trPr>
          <w:trHeight w:val="348"/>
        </w:trPr>
        <w:tc>
          <w:tcPr>
            <w:tcW w:w="1885" w:type="pct"/>
            <w:tcBorders>
              <w:top w:val="single" w:sz="4" w:space="0" w:color="auto"/>
              <w:left w:val="nil"/>
              <w:bottom w:val="nil"/>
              <w:right w:val="nil"/>
            </w:tcBorders>
            <w:shd w:val="clear" w:color="auto" w:fill="auto"/>
            <w:noWrap/>
            <w:vAlign w:val="center"/>
            <w:hideMark/>
          </w:tcPr>
          <w:p w14:paraId="023E7EAE" w14:textId="77777777" w:rsidR="00B10372" w:rsidRPr="0081325D" w:rsidRDefault="00B10372" w:rsidP="00382B43">
            <w:pPr>
              <w:rPr>
                <w:rFonts w:ascii="Calibri" w:hAnsi="Calibri" w:cs="Calibri"/>
                <w:b/>
                <w:bCs/>
                <w:color w:val="000000"/>
                <w:lang w:eastAsia="en-GB"/>
              </w:rPr>
            </w:pPr>
            <w:r w:rsidRPr="0081325D">
              <w:rPr>
                <w:rFonts w:ascii="Calibri" w:hAnsi="Calibri" w:cs="Calibri"/>
                <w:b/>
                <w:bCs/>
                <w:color w:val="000000"/>
                <w:lang w:eastAsia="en-GB"/>
              </w:rPr>
              <w:t>Total comprehensive income for year</w:t>
            </w:r>
          </w:p>
        </w:tc>
        <w:tc>
          <w:tcPr>
            <w:tcW w:w="519" w:type="pct"/>
            <w:tcBorders>
              <w:top w:val="single" w:sz="4" w:space="0" w:color="auto"/>
              <w:left w:val="nil"/>
              <w:bottom w:val="nil"/>
              <w:right w:val="nil"/>
            </w:tcBorders>
            <w:shd w:val="clear" w:color="000000" w:fill="FFFFFF"/>
            <w:noWrap/>
            <w:vAlign w:val="center"/>
            <w:hideMark/>
          </w:tcPr>
          <w:p w14:paraId="328E7815"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w:t>
            </w:r>
          </w:p>
        </w:tc>
        <w:tc>
          <w:tcPr>
            <w:tcW w:w="547" w:type="pct"/>
            <w:tcBorders>
              <w:top w:val="single" w:sz="4" w:space="0" w:color="auto"/>
              <w:left w:val="nil"/>
              <w:bottom w:val="nil"/>
              <w:right w:val="nil"/>
            </w:tcBorders>
            <w:shd w:val="clear" w:color="000000" w:fill="FFFFFF"/>
            <w:noWrap/>
            <w:vAlign w:val="center"/>
            <w:hideMark/>
          </w:tcPr>
          <w:p w14:paraId="1EA1912E"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w:t>
            </w:r>
          </w:p>
        </w:tc>
        <w:tc>
          <w:tcPr>
            <w:tcW w:w="536" w:type="pct"/>
            <w:tcBorders>
              <w:top w:val="single" w:sz="4" w:space="0" w:color="auto"/>
              <w:left w:val="nil"/>
              <w:bottom w:val="nil"/>
              <w:right w:val="nil"/>
            </w:tcBorders>
            <w:shd w:val="clear" w:color="000000" w:fill="FFFFFF"/>
            <w:noWrap/>
            <w:vAlign w:val="center"/>
            <w:hideMark/>
          </w:tcPr>
          <w:p w14:paraId="374B4A22"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w:t>
            </w:r>
          </w:p>
        </w:tc>
        <w:tc>
          <w:tcPr>
            <w:tcW w:w="474" w:type="pct"/>
            <w:tcBorders>
              <w:top w:val="single" w:sz="4" w:space="0" w:color="auto"/>
              <w:left w:val="nil"/>
              <w:bottom w:val="nil"/>
              <w:right w:val="nil"/>
            </w:tcBorders>
            <w:shd w:val="clear" w:color="000000" w:fill="FFFFFF"/>
            <w:noWrap/>
            <w:vAlign w:val="center"/>
            <w:hideMark/>
          </w:tcPr>
          <w:p w14:paraId="5E67CB93"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w:t>
            </w:r>
          </w:p>
        </w:tc>
        <w:tc>
          <w:tcPr>
            <w:tcW w:w="539" w:type="pct"/>
            <w:tcBorders>
              <w:top w:val="single" w:sz="4" w:space="0" w:color="auto"/>
              <w:left w:val="nil"/>
              <w:bottom w:val="nil"/>
              <w:right w:val="nil"/>
            </w:tcBorders>
            <w:shd w:val="clear" w:color="000000" w:fill="FFFFFF"/>
            <w:noWrap/>
            <w:vAlign w:val="center"/>
            <w:hideMark/>
          </w:tcPr>
          <w:p w14:paraId="4EF99C58" w14:textId="77777777" w:rsidR="00B10372" w:rsidRPr="0081325D" w:rsidRDefault="00B10372" w:rsidP="00382B43">
            <w:pPr>
              <w:jc w:val="right"/>
              <w:rPr>
                <w:rFonts w:ascii="Calibri" w:hAnsi="Calibri" w:cs="Calibri"/>
                <w:b/>
                <w:bCs/>
                <w:lang w:eastAsia="en-GB"/>
              </w:rPr>
            </w:pPr>
            <w:r w:rsidRPr="0081325D">
              <w:rPr>
                <w:rFonts w:ascii="Calibri" w:hAnsi="Calibri" w:cs="Calibri"/>
                <w:b/>
                <w:bCs/>
                <w:color w:val="000000"/>
                <w:lang w:eastAsia="en-GB"/>
              </w:rPr>
              <w:t>(1,006)</w:t>
            </w:r>
          </w:p>
        </w:tc>
        <w:tc>
          <w:tcPr>
            <w:tcW w:w="501" w:type="pct"/>
            <w:tcBorders>
              <w:top w:val="single" w:sz="4" w:space="0" w:color="auto"/>
              <w:left w:val="nil"/>
              <w:bottom w:val="nil"/>
              <w:right w:val="nil"/>
            </w:tcBorders>
            <w:shd w:val="clear" w:color="000000" w:fill="FFFFFF"/>
            <w:noWrap/>
            <w:vAlign w:val="center"/>
            <w:hideMark/>
          </w:tcPr>
          <w:p w14:paraId="58EFC2EB" w14:textId="77777777" w:rsidR="00B10372" w:rsidRPr="0081325D" w:rsidRDefault="00B10372" w:rsidP="00382B43">
            <w:pPr>
              <w:jc w:val="right"/>
              <w:rPr>
                <w:rFonts w:ascii="Calibri" w:hAnsi="Calibri" w:cs="Calibri"/>
                <w:b/>
                <w:bCs/>
                <w:lang w:eastAsia="en-GB"/>
              </w:rPr>
            </w:pPr>
            <w:r w:rsidRPr="0081325D">
              <w:rPr>
                <w:rFonts w:ascii="Calibri" w:hAnsi="Calibri" w:cs="Calibri"/>
                <w:b/>
                <w:bCs/>
                <w:color w:val="000000"/>
                <w:lang w:eastAsia="en-GB"/>
              </w:rPr>
              <w:t>(1,006)</w:t>
            </w:r>
          </w:p>
        </w:tc>
      </w:tr>
      <w:tr w:rsidR="00B10372" w:rsidRPr="0081325D" w14:paraId="79A0C6B4" w14:textId="77777777" w:rsidTr="00382B43">
        <w:trPr>
          <w:trHeight w:val="348"/>
        </w:trPr>
        <w:tc>
          <w:tcPr>
            <w:tcW w:w="1885" w:type="pct"/>
            <w:tcBorders>
              <w:top w:val="nil"/>
              <w:left w:val="nil"/>
              <w:bottom w:val="nil"/>
              <w:right w:val="nil"/>
            </w:tcBorders>
            <w:shd w:val="clear" w:color="auto" w:fill="auto"/>
            <w:noWrap/>
            <w:vAlign w:val="center"/>
            <w:hideMark/>
          </w:tcPr>
          <w:p w14:paraId="35D78245" w14:textId="77777777" w:rsidR="00B10372" w:rsidRPr="0081325D" w:rsidRDefault="00B10372" w:rsidP="00382B43">
            <w:pPr>
              <w:jc w:val="right"/>
              <w:rPr>
                <w:rFonts w:ascii="Calibri" w:hAnsi="Calibri" w:cs="Calibri"/>
                <w:b/>
                <w:bCs/>
                <w:lang w:eastAsia="en-GB"/>
              </w:rPr>
            </w:pPr>
          </w:p>
        </w:tc>
        <w:tc>
          <w:tcPr>
            <w:tcW w:w="519" w:type="pct"/>
            <w:tcBorders>
              <w:top w:val="nil"/>
              <w:left w:val="nil"/>
              <w:bottom w:val="nil"/>
              <w:right w:val="nil"/>
            </w:tcBorders>
            <w:shd w:val="clear" w:color="000000" w:fill="FFFFFF"/>
            <w:noWrap/>
            <w:vAlign w:val="center"/>
            <w:hideMark/>
          </w:tcPr>
          <w:p w14:paraId="27AD5421"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47" w:type="pct"/>
            <w:tcBorders>
              <w:top w:val="nil"/>
              <w:left w:val="nil"/>
              <w:bottom w:val="nil"/>
              <w:right w:val="nil"/>
            </w:tcBorders>
            <w:shd w:val="clear" w:color="000000" w:fill="FFFFFF"/>
            <w:noWrap/>
            <w:vAlign w:val="center"/>
            <w:hideMark/>
          </w:tcPr>
          <w:p w14:paraId="3F814ABC"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36" w:type="pct"/>
            <w:tcBorders>
              <w:top w:val="nil"/>
              <w:left w:val="nil"/>
              <w:bottom w:val="nil"/>
              <w:right w:val="nil"/>
            </w:tcBorders>
            <w:shd w:val="clear" w:color="000000" w:fill="FFFFFF"/>
            <w:noWrap/>
            <w:vAlign w:val="center"/>
            <w:hideMark/>
          </w:tcPr>
          <w:p w14:paraId="5E1CD27B"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474" w:type="pct"/>
            <w:tcBorders>
              <w:top w:val="nil"/>
              <w:left w:val="nil"/>
              <w:bottom w:val="nil"/>
              <w:right w:val="nil"/>
            </w:tcBorders>
            <w:shd w:val="clear" w:color="000000" w:fill="FFFFFF"/>
            <w:noWrap/>
            <w:vAlign w:val="center"/>
            <w:hideMark/>
          </w:tcPr>
          <w:p w14:paraId="12C39DC4"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39" w:type="pct"/>
            <w:tcBorders>
              <w:top w:val="nil"/>
              <w:left w:val="nil"/>
              <w:bottom w:val="nil"/>
              <w:right w:val="nil"/>
            </w:tcBorders>
            <w:shd w:val="clear" w:color="000000" w:fill="FFFFFF"/>
            <w:noWrap/>
            <w:vAlign w:val="center"/>
            <w:hideMark/>
          </w:tcPr>
          <w:p w14:paraId="75881CF3"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01" w:type="pct"/>
            <w:tcBorders>
              <w:top w:val="nil"/>
              <w:left w:val="nil"/>
              <w:bottom w:val="nil"/>
              <w:right w:val="nil"/>
            </w:tcBorders>
            <w:shd w:val="clear" w:color="000000" w:fill="FFFFFF"/>
            <w:noWrap/>
            <w:vAlign w:val="center"/>
            <w:hideMark/>
          </w:tcPr>
          <w:p w14:paraId="01CB91B0"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r>
      <w:tr w:rsidR="00B10372" w:rsidRPr="0081325D" w14:paraId="601BDDB2" w14:textId="77777777" w:rsidTr="00382B43">
        <w:trPr>
          <w:trHeight w:val="348"/>
        </w:trPr>
        <w:tc>
          <w:tcPr>
            <w:tcW w:w="1885" w:type="pct"/>
            <w:tcBorders>
              <w:top w:val="nil"/>
              <w:left w:val="nil"/>
              <w:bottom w:val="nil"/>
              <w:right w:val="nil"/>
            </w:tcBorders>
            <w:shd w:val="clear" w:color="auto" w:fill="auto"/>
            <w:noWrap/>
            <w:vAlign w:val="center"/>
            <w:hideMark/>
          </w:tcPr>
          <w:p w14:paraId="27F3E952" w14:textId="77777777" w:rsidR="00B10372" w:rsidRPr="0081325D" w:rsidRDefault="00B10372" w:rsidP="00382B43">
            <w:pPr>
              <w:rPr>
                <w:rFonts w:ascii="Calibri" w:hAnsi="Calibri" w:cs="Calibri"/>
                <w:b/>
                <w:bCs/>
                <w:color w:val="000000"/>
                <w:lang w:eastAsia="en-GB"/>
              </w:rPr>
            </w:pPr>
            <w:r w:rsidRPr="0081325D">
              <w:rPr>
                <w:rFonts w:ascii="Calibri" w:hAnsi="Calibri" w:cs="Calibri"/>
                <w:b/>
                <w:bCs/>
                <w:color w:val="000000"/>
                <w:lang w:eastAsia="en-GB"/>
              </w:rPr>
              <w:t xml:space="preserve">Transactions with owners </w:t>
            </w:r>
          </w:p>
        </w:tc>
        <w:tc>
          <w:tcPr>
            <w:tcW w:w="519" w:type="pct"/>
            <w:tcBorders>
              <w:top w:val="nil"/>
              <w:left w:val="nil"/>
              <w:bottom w:val="nil"/>
              <w:right w:val="nil"/>
            </w:tcBorders>
            <w:shd w:val="clear" w:color="000000" w:fill="FFFFFF"/>
            <w:noWrap/>
            <w:vAlign w:val="center"/>
            <w:hideMark/>
          </w:tcPr>
          <w:p w14:paraId="534AB7FE"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47" w:type="pct"/>
            <w:tcBorders>
              <w:top w:val="nil"/>
              <w:left w:val="nil"/>
              <w:bottom w:val="nil"/>
              <w:right w:val="nil"/>
            </w:tcBorders>
            <w:shd w:val="clear" w:color="000000" w:fill="FFFFFF"/>
            <w:noWrap/>
            <w:vAlign w:val="center"/>
            <w:hideMark/>
          </w:tcPr>
          <w:p w14:paraId="748176DE"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36" w:type="pct"/>
            <w:tcBorders>
              <w:top w:val="nil"/>
              <w:left w:val="nil"/>
              <w:bottom w:val="nil"/>
              <w:right w:val="nil"/>
            </w:tcBorders>
            <w:shd w:val="clear" w:color="000000" w:fill="FFFFFF"/>
            <w:noWrap/>
            <w:vAlign w:val="center"/>
            <w:hideMark/>
          </w:tcPr>
          <w:p w14:paraId="25BA1C8F"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474" w:type="pct"/>
            <w:tcBorders>
              <w:top w:val="nil"/>
              <w:left w:val="nil"/>
              <w:bottom w:val="nil"/>
              <w:right w:val="nil"/>
            </w:tcBorders>
            <w:shd w:val="clear" w:color="000000" w:fill="FFFFFF"/>
            <w:noWrap/>
            <w:vAlign w:val="center"/>
            <w:hideMark/>
          </w:tcPr>
          <w:p w14:paraId="6FE661CE"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39" w:type="pct"/>
            <w:tcBorders>
              <w:top w:val="nil"/>
              <w:left w:val="nil"/>
              <w:bottom w:val="nil"/>
              <w:right w:val="nil"/>
            </w:tcBorders>
            <w:shd w:val="clear" w:color="000000" w:fill="FFFFFF"/>
            <w:noWrap/>
            <w:vAlign w:val="center"/>
            <w:hideMark/>
          </w:tcPr>
          <w:p w14:paraId="7442FD17"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501" w:type="pct"/>
            <w:tcBorders>
              <w:top w:val="nil"/>
              <w:left w:val="nil"/>
              <w:bottom w:val="nil"/>
              <w:right w:val="nil"/>
            </w:tcBorders>
            <w:shd w:val="clear" w:color="000000" w:fill="FFFFFF"/>
            <w:noWrap/>
            <w:vAlign w:val="center"/>
            <w:hideMark/>
          </w:tcPr>
          <w:p w14:paraId="48F452DE"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r>
      <w:tr w:rsidR="00B10372" w:rsidRPr="0081325D" w14:paraId="2DF53027" w14:textId="77777777" w:rsidTr="00382B43">
        <w:trPr>
          <w:trHeight w:val="348"/>
        </w:trPr>
        <w:tc>
          <w:tcPr>
            <w:tcW w:w="1885" w:type="pct"/>
            <w:tcBorders>
              <w:top w:val="nil"/>
              <w:left w:val="nil"/>
              <w:bottom w:val="nil"/>
              <w:right w:val="nil"/>
            </w:tcBorders>
            <w:shd w:val="clear" w:color="auto" w:fill="auto"/>
            <w:noWrap/>
            <w:vAlign w:val="center"/>
            <w:hideMark/>
          </w:tcPr>
          <w:p w14:paraId="2814E7B5" w14:textId="77777777" w:rsidR="00B10372" w:rsidRPr="0081325D" w:rsidRDefault="00B10372" w:rsidP="00382B43">
            <w:pPr>
              <w:rPr>
                <w:rFonts w:ascii="Calibri" w:hAnsi="Calibri" w:cs="Calibri"/>
                <w:color w:val="000000"/>
                <w:lang w:eastAsia="en-GB"/>
              </w:rPr>
            </w:pPr>
            <w:r w:rsidRPr="0081325D">
              <w:rPr>
                <w:rFonts w:ascii="Calibri" w:hAnsi="Calibri" w:cs="Calibri"/>
                <w:color w:val="000000"/>
                <w:lang w:eastAsia="en-GB"/>
              </w:rPr>
              <w:t>Fair value adjustment on investments</w:t>
            </w:r>
          </w:p>
        </w:tc>
        <w:tc>
          <w:tcPr>
            <w:tcW w:w="519" w:type="pct"/>
            <w:tcBorders>
              <w:top w:val="nil"/>
              <w:left w:val="nil"/>
              <w:bottom w:val="nil"/>
              <w:right w:val="nil"/>
            </w:tcBorders>
            <w:shd w:val="clear" w:color="000000" w:fill="FFFFFF"/>
            <w:noWrap/>
            <w:vAlign w:val="center"/>
            <w:hideMark/>
          </w:tcPr>
          <w:p w14:paraId="4509CFC3"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47" w:type="pct"/>
            <w:tcBorders>
              <w:top w:val="nil"/>
              <w:left w:val="nil"/>
              <w:bottom w:val="nil"/>
              <w:right w:val="nil"/>
            </w:tcBorders>
            <w:shd w:val="clear" w:color="000000" w:fill="FFFFFF"/>
            <w:noWrap/>
            <w:vAlign w:val="center"/>
            <w:hideMark/>
          </w:tcPr>
          <w:p w14:paraId="247450D8"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36" w:type="pct"/>
            <w:tcBorders>
              <w:top w:val="nil"/>
              <w:left w:val="nil"/>
              <w:bottom w:val="nil"/>
              <w:right w:val="nil"/>
            </w:tcBorders>
            <w:shd w:val="clear" w:color="000000" w:fill="FFFFFF"/>
            <w:noWrap/>
            <w:vAlign w:val="center"/>
            <w:hideMark/>
          </w:tcPr>
          <w:p w14:paraId="1D4E429E"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 </w:t>
            </w:r>
          </w:p>
        </w:tc>
        <w:tc>
          <w:tcPr>
            <w:tcW w:w="474" w:type="pct"/>
            <w:tcBorders>
              <w:top w:val="nil"/>
              <w:left w:val="nil"/>
              <w:bottom w:val="nil"/>
              <w:right w:val="nil"/>
            </w:tcBorders>
            <w:shd w:val="clear" w:color="000000" w:fill="FFFFFF"/>
            <w:noWrap/>
            <w:vAlign w:val="center"/>
            <w:hideMark/>
          </w:tcPr>
          <w:p w14:paraId="5E5E5A33"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2</w:t>
            </w:r>
          </w:p>
        </w:tc>
        <w:tc>
          <w:tcPr>
            <w:tcW w:w="539" w:type="pct"/>
            <w:tcBorders>
              <w:top w:val="nil"/>
              <w:left w:val="nil"/>
              <w:bottom w:val="nil"/>
              <w:right w:val="nil"/>
            </w:tcBorders>
            <w:shd w:val="clear" w:color="000000" w:fill="FFFFFF"/>
            <w:noWrap/>
            <w:vAlign w:val="center"/>
            <w:hideMark/>
          </w:tcPr>
          <w:p w14:paraId="64B73635"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01" w:type="pct"/>
            <w:tcBorders>
              <w:top w:val="nil"/>
              <w:left w:val="nil"/>
              <w:bottom w:val="nil"/>
              <w:right w:val="nil"/>
            </w:tcBorders>
            <w:shd w:val="clear" w:color="000000" w:fill="FFFFFF"/>
            <w:noWrap/>
            <w:vAlign w:val="center"/>
            <w:hideMark/>
          </w:tcPr>
          <w:p w14:paraId="63A78DBB"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2</w:t>
            </w:r>
          </w:p>
        </w:tc>
      </w:tr>
      <w:tr w:rsidR="00B10372" w:rsidRPr="0081325D" w14:paraId="6D70CA25" w14:textId="77777777" w:rsidTr="00382B43">
        <w:trPr>
          <w:trHeight w:val="348"/>
        </w:trPr>
        <w:tc>
          <w:tcPr>
            <w:tcW w:w="1885" w:type="pct"/>
            <w:tcBorders>
              <w:top w:val="single" w:sz="4" w:space="0" w:color="auto"/>
              <w:left w:val="nil"/>
              <w:bottom w:val="single" w:sz="4" w:space="0" w:color="auto"/>
              <w:right w:val="nil"/>
            </w:tcBorders>
            <w:shd w:val="clear" w:color="auto" w:fill="auto"/>
            <w:noWrap/>
            <w:vAlign w:val="center"/>
            <w:hideMark/>
          </w:tcPr>
          <w:p w14:paraId="32450D41" w14:textId="77777777" w:rsidR="00B10372" w:rsidRPr="0081325D" w:rsidRDefault="00B10372" w:rsidP="00382B43">
            <w:pPr>
              <w:rPr>
                <w:rFonts w:ascii="Calibri" w:hAnsi="Calibri" w:cs="Calibri"/>
                <w:color w:val="000000"/>
                <w:lang w:eastAsia="en-GB"/>
              </w:rPr>
            </w:pPr>
            <w:r w:rsidRPr="0081325D">
              <w:rPr>
                <w:rFonts w:ascii="Calibri" w:hAnsi="Calibri" w:cs="Calibri"/>
                <w:color w:val="000000"/>
                <w:lang w:eastAsia="en-GB"/>
              </w:rPr>
              <w:t xml:space="preserve">Transactions with owners </w:t>
            </w:r>
          </w:p>
        </w:tc>
        <w:tc>
          <w:tcPr>
            <w:tcW w:w="519" w:type="pct"/>
            <w:tcBorders>
              <w:top w:val="single" w:sz="4" w:space="0" w:color="auto"/>
              <w:left w:val="nil"/>
              <w:bottom w:val="single" w:sz="4" w:space="0" w:color="auto"/>
              <w:right w:val="nil"/>
            </w:tcBorders>
            <w:shd w:val="clear" w:color="000000" w:fill="FFFFFF"/>
            <w:noWrap/>
            <w:vAlign w:val="center"/>
            <w:hideMark/>
          </w:tcPr>
          <w:p w14:paraId="1E1A3C39"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47" w:type="pct"/>
            <w:tcBorders>
              <w:top w:val="single" w:sz="4" w:space="0" w:color="auto"/>
              <w:left w:val="nil"/>
              <w:bottom w:val="single" w:sz="4" w:space="0" w:color="auto"/>
              <w:right w:val="nil"/>
            </w:tcBorders>
            <w:shd w:val="clear" w:color="000000" w:fill="FFFFFF"/>
            <w:noWrap/>
            <w:vAlign w:val="center"/>
            <w:hideMark/>
          </w:tcPr>
          <w:p w14:paraId="6F8526BA" w14:textId="77777777" w:rsidR="00B10372" w:rsidRPr="0081325D" w:rsidRDefault="00B10372" w:rsidP="00382B43">
            <w:pPr>
              <w:jc w:val="right"/>
              <w:rPr>
                <w:rFonts w:ascii="Calibri" w:hAnsi="Calibri" w:cs="Calibri"/>
                <w:lang w:eastAsia="en-GB"/>
              </w:rPr>
            </w:pPr>
            <w:r w:rsidRPr="0081325D">
              <w:rPr>
                <w:rFonts w:ascii="Calibri" w:hAnsi="Calibri" w:cs="Calibri"/>
                <w:color w:val="000000"/>
                <w:lang w:eastAsia="en-GB"/>
              </w:rPr>
              <w:t>-</w:t>
            </w:r>
          </w:p>
        </w:tc>
        <w:tc>
          <w:tcPr>
            <w:tcW w:w="536" w:type="pct"/>
            <w:tcBorders>
              <w:top w:val="single" w:sz="4" w:space="0" w:color="auto"/>
              <w:left w:val="nil"/>
              <w:bottom w:val="single" w:sz="4" w:space="0" w:color="auto"/>
              <w:right w:val="nil"/>
            </w:tcBorders>
            <w:shd w:val="clear" w:color="000000" w:fill="FFFFFF"/>
            <w:noWrap/>
            <w:vAlign w:val="center"/>
            <w:hideMark/>
          </w:tcPr>
          <w:p w14:paraId="622BAD79"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474" w:type="pct"/>
            <w:tcBorders>
              <w:top w:val="single" w:sz="4" w:space="0" w:color="auto"/>
              <w:left w:val="nil"/>
              <w:bottom w:val="single" w:sz="4" w:space="0" w:color="auto"/>
              <w:right w:val="nil"/>
            </w:tcBorders>
            <w:shd w:val="clear" w:color="000000" w:fill="FFFFFF"/>
            <w:noWrap/>
            <w:vAlign w:val="center"/>
            <w:hideMark/>
          </w:tcPr>
          <w:p w14:paraId="40AAD732"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2</w:t>
            </w:r>
          </w:p>
        </w:tc>
        <w:tc>
          <w:tcPr>
            <w:tcW w:w="539" w:type="pct"/>
            <w:tcBorders>
              <w:top w:val="single" w:sz="4" w:space="0" w:color="auto"/>
              <w:left w:val="nil"/>
              <w:bottom w:val="single" w:sz="4" w:space="0" w:color="auto"/>
              <w:right w:val="nil"/>
            </w:tcBorders>
            <w:shd w:val="clear" w:color="000000" w:fill="FFFFFF"/>
            <w:noWrap/>
            <w:vAlign w:val="center"/>
            <w:hideMark/>
          </w:tcPr>
          <w:p w14:paraId="750E63A4" w14:textId="77777777" w:rsidR="00B10372" w:rsidRPr="0081325D" w:rsidRDefault="00B10372" w:rsidP="00382B43">
            <w:pPr>
              <w:jc w:val="right"/>
              <w:rPr>
                <w:rFonts w:ascii="Calibri" w:hAnsi="Calibri" w:cs="Calibri"/>
                <w:lang w:eastAsia="en-GB"/>
              </w:rPr>
            </w:pPr>
            <w:r w:rsidRPr="0081325D">
              <w:rPr>
                <w:rFonts w:ascii="Calibri" w:hAnsi="Calibri" w:cs="Calibri"/>
                <w:lang w:eastAsia="en-GB"/>
              </w:rPr>
              <w:t>-</w:t>
            </w:r>
          </w:p>
        </w:tc>
        <w:tc>
          <w:tcPr>
            <w:tcW w:w="501" w:type="pct"/>
            <w:tcBorders>
              <w:top w:val="single" w:sz="4" w:space="0" w:color="auto"/>
              <w:left w:val="nil"/>
              <w:bottom w:val="single" w:sz="4" w:space="0" w:color="auto"/>
              <w:right w:val="nil"/>
            </w:tcBorders>
            <w:shd w:val="clear" w:color="000000" w:fill="FFFFFF"/>
            <w:noWrap/>
            <w:vAlign w:val="center"/>
            <w:hideMark/>
          </w:tcPr>
          <w:p w14:paraId="4411798C" w14:textId="77777777" w:rsidR="00B10372" w:rsidRPr="0081325D" w:rsidRDefault="00B10372" w:rsidP="00382B43">
            <w:pPr>
              <w:jc w:val="right"/>
              <w:rPr>
                <w:rFonts w:ascii="Calibri" w:hAnsi="Calibri" w:cs="Calibri"/>
                <w:lang w:eastAsia="en-GB"/>
              </w:rPr>
            </w:pPr>
            <w:r w:rsidRPr="0081325D">
              <w:rPr>
                <w:rFonts w:ascii="Calibri" w:hAnsi="Calibri" w:cs="Calibri"/>
                <w:color w:val="000000"/>
                <w:lang w:eastAsia="en-GB"/>
              </w:rPr>
              <w:t>2</w:t>
            </w:r>
          </w:p>
        </w:tc>
      </w:tr>
      <w:tr w:rsidR="00B10372" w:rsidRPr="0081325D" w14:paraId="4A9108C9" w14:textId="77777777" w:rsidTr="00382B43">
        <w:trPr>
          <w:trHeight w:val="366"/>
        </w:trPr>
        <w:tc>
          <w:tcPr>
            <w:tcW w:w="1885" w:type="pct"/>
            <w:tcBorders>
              <w:top w:val="nil"/>
              <w:left w:val="nil"/>
              <w:bottom w:val="double" w:sz="6" w:space="0" w:color="auto"/>
              <w:right w:val="nil"/>
            </w:tcBorders>
            <w:shd w:val="clear" w:color="auto" w:fill="auto"/>
            <w:noWrap/>
            <w:vAlign w:val="center"/>
            <w:hideMark/>
          </w:tcPr>
          <w:p w14:paraId="1B07E8ED" w14:textId="77777777" w:rsidR="00B10372" w:rsidRPr="0081325D" w:rsidRDefault="00B10372" w:rsidP="00382B43">
            <w:pPr>
              <w:rPr>
                <w:rFonts w:ascii="Calibri" w:hAnsi="Calibri" w:cs="Calibri"/>
                <w:b/>
                <w:bCs/>
                <w:color w:val="000000"/>
                <w:lang w:eastAsia="en-GB"/>
              </w:rPr>
            </w:pPr>
            <w:r w:rsidRPr="0081325D">
              <w:rPr>
                <w:rFonts w:ascii="Calibri" w:hAnsi="Calibri" w:cs="Calibri"/>
                <w:b/>
                <w:bCs/>
                <w:color w:val="000000"/>
                <w:lang w:eastAsia="en-GB"/>
              </w:rPr>
              <w:t xml:space="preserve">Balance </w:t>
            </w:r>
            <w:proofErr w:type="gramStart"/>
            <w:r w:rsidRPr="0081325D">
              <w:rPr>
                <w:rFonts w:ascii="Calibri" w:hAnsi="Calibri" w:cs="Calibri"/>
                <w:b/>
                <w:bCs/>
                <w:color w:val="000000"/>
                <w:lang w:eastAsia="en-GB"/>
              </w:rPr>
              <w:t>at</w:t>
            </w:r>
            <w:proofErr w:type="gramEnd"/>
            <w:r w:rsidRPr="0081325D">
              <w:rPr>
                <w:rFonts w:ascii="Calibri" w:hAnsi="Calibri" w:cs="Calibri"/>
                <w:b/>
                <w:bCs/>
                <w:color w:val="000000"/>
                <w:lang w:eastAsia="en-GB"/>
              </w:rPr>
              <w:t xml:space="preserve"> 30 November 2022</w:t>
            </w:r>
          </w:p>
        </w:tc>
        <w:tc>
          <w:tcPr>
            <w:tcW w:w="519" w:type="pct"/>
            <w:tcBorders>
              <w:top w:val="nil"/>
              <w:left w:val="nil"/>
              <w:bottom w:val="double" w:sz="6" w:space="0" w:color="auto"/>
              <w:right w:val="nil"/>
            </w:tcBorders>
            <w:shd w:val="clear" w:color="000000" w:fill="FFFFFF"/>
            <w:noWrap/>
            <w:vAlign w:val="center"/>
            <w:hideMark/>
          </w:tcPr>
          <w:p w14:paraId="197F8CC3"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297</w:t>
            </w:r>
          </w:p>
        </w:tc>
        <w:tc>
          <w:tcPr>
            <w:tcW w:w="547" w:type="pct"/>
            <w:tcBorders>
              <w:top w:val="nil"/>
              <w:left w:val="nil"/>
              <w:bottom w:val="double" w:sz="6" w:space="0" w:color="auto"/>
              <w:right w:val="nil"/>
            </w:tcBorders>
            <w:shd w:val="clear" w:color="000000" w:fill="FFFFFF"/>
            <w:noWrap/>
            <w:vAlign w:val="center"/>
            <w:hideMark/>
          </w:tcPr>
          <w:p w14:paraId="4D47E550"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2,810</w:t>
            </w:r>
          </w:p>
        </w:tc>
        <w:tc>
          <w:tcPr>
            <w:tcW w:w="536" w:type="pct"/>
            <w:tcBorders>
              <w:top w:val="nil"/>
              <w:left w:val="nil"/>
              <w:bottom w:val="double" w:sz="6" w:space="0" w:color="auto"/>
              <w:right w:val="nil"/>
            </w:tcBorders>
            <w:shd w:val="clear" w:color="000000" w:fill="FFFFFF"/>
            <w:noWrap/>
            <w:vAlign w:val="center"/>
            <w:hideMark/>
          </w:tcPr>
          <w:p w14:paraId="5A350B0C"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575</w:t>
            </w:r>
          </w:p>
        </w:tc>
        <w:tc>
          <w:tcPr>
            <w:tcW w:w="474" w:type="pct"/>
            <w:tcBorders>
              <w:top w:val="nil"/>
              <w:left w:val="nil"/>
              <w:bottom w:val="double" w:sz="6" w:space="0" w:color="auto"/>
              <w:right w:val="nil"/>
            </w:tcBorders>
            <w:shd w:val="clear" w:color="000000" w:fill="FFFFFF"/>
            <w:noWrap/>
            <w:vAlign w:val="center"/>
            <w:hideMark/>
          </w:tcPr>
          <w:p w14:paraId="3FF5B529"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2</w:t>
            </w:r>
          </w:p>
        </w:tc>
        <w:tc>
          <w:tcPr>
            <w:tcW w:w="539" w:type="pct"/>
            <w:tcBorders>
              <w:top w:val="nil"/>
              <w:left w:val="nil"/>
              <w:bottom w:val="double" w:sz="6" w:space="0" w:color="auto"/>
              <w:right w:val="nil"/>
            </w:tcBorders>
            <w:shd w:val="clear" w:color="000000" w:fill="FFFFFF"/>
            <w:noWrap/>
            <w:vAlign w:val="center"/>
            <w:hideMark/>
          </w:tcPr>
          <w:p w14:paraId="5033ABA7" w14:textId="77777777" w:rsidR="00B10372" w:rsidRPr="0081325D" w:rsidRDefault="00B10372" w:rsidP="00382B43">
            <w:pPr>
              <w:jc w:val="right"/>
              <w:rPr>
                <w:rFonts w:ascii="Calibri" w:hAnsi="Calibri" w:cs="Calibri"/>
                <w:b/>
                <w:bCs/>
                <w:lang w:eastAsia="en-GB"/>
              </w:rPr>
            </w:pPr>
            <w:r w:rsidRPr="0081325D">
              <w:rPr>
                <w:rFonts w:ascii="Calibri" w:hAnsi="Calibri" w:cs="Calibri"/>
                <w:b/>
                <w:bCs/>
                <w:color w:val="000000"/>
                <w:lang w:eastAsia="en-GB"/>
              </w:rPr>
              <w:t>(2,275)</w:t>
            </w:r>
          </w:p>
        </w:tc>
        <w:tc>
          <w:tcPr>
            <w:tcW w:w="501" w:type="pct"/>
            <w:tcBorders>
              <w:top w:val="nil"/>
              <w:left w:val="nil"/>
              <w:bottom w:val="double" w:sz="6" w:space="0" w:color="auto"/>
              <w:right w:val="nil"/>
            </w:tcBorders>
            <w:shd w:val="clear" w:color="000000" w:fill="FFFFFF"/>
            <w:noWrap/>
            <w:vAlign w:val="center"/>
            <w:hideMark/>
          </w:tcPr>
          <w:p w14:paraId="694D03A0" w14:textId="77777777" w:rsidR="00B10372" w:rsidRPr="0081325D" w:rsidRDefault="00B10372" w:rsidP="00382B43">
            <w:pPr>
              <w:jc w:val="right"/>
              <w:rPr>
                <w:rFonts w:ascii="Calibri" w:hAnsi="Calibri" w:cs="Calibri"/>
                <w:b/>
                <w:bCs/>
                <w:lang w:eastAsia="en-GB"/>
              </w:rPr>
            </w:pPr>
            <w:r w:rsidRPr="0081325D">
              <w:rPr>
                <w:rFonts w:ascii="Calibri" w:hAnsi="Calibri" w:cs="Calibri"/>
                <w:b/>
                <w:bCs/>
                <w:lang w:eastAsia="en-GB"/>
              </w:rPr>
              <w:t>1,409</w:t>
            </w:r>
          </w:p>
        </w:tc>
      </w:tr>
    </w:tbl>
    <w:p w14:paraId="3A5B6CE1" w14:textId="77777777" w:rsidR="00B10372" w:rsidRDefault="00B10372" w:rsidP="00BC5427">
      <w:pPr>
        <w:pStyle w:val="Heading1"/>
        <w:spacing w:before="80"/>
        <w:ind w:left="0" w:right="4171"/>
        <w:rPr>
          <w:sz w:val="19"/>
          <w:lang w:val="en-GB"/>
        </w:rPr>
      </w:pPr>
    </w:p>
    <w:tbl>
      <w:tblPr>
        <w:tblpPr w:leftFromText="180" w:rightFromText="180" w:vertAnchor="text" w:horzAnchor="margin" w:tblpY="104"/>
        <w:tblW w:w="5025" w:type="pct"/>
        <w:tblLook w:val="04A0" w:firstRow="1" w:lastRow="0" w:firstColumn="1" w:lastColumn="0" w:noHBand="0" w:noVBand="1"/>
      </w:tblPr>
      <w:tblGrid>
        <w:gridCol w:w="4931"/>
        <w:gridCol w:w="942"/>
        <w:gridCol w:w="1772"/>
        <w:gridCol w:w="1772"/>
      </w:tblGrid>
      <w:tr w:rsidR="00214E71" w:rsidRPr="0081325D" w14:paraId="29F0B6C0" w14:textId="77777777" w:rsidTr="00382B43">
        <w:trPr>
          <w:trHeight w:val="1226"/>
        </w:trPr>
        <w:tc>
          <w:tcPr>
            <w:tcW w:w="2564" w:type="pct"/>
            <w:tcBorders>
              <w:top w:val="nil"/>
              <w:left w:val="nil"/>
              <w:bottom w:val="nil"/>
              <w:right w:val="nil"/>
            </w:tcBorders>
            <w:shd w:val="clear" w:color="auto" w:fill="auto"/>
            <w:noWrap/>
            <w:vAlign w:val="bottom"/>
            <w:hideMark/>
          </w:tcPr>
          <w:p w14:paraId="0661D34E" w14:textId="77777777" w:rsidR="00214E71" w:rsidRPr="0081325D" w:rsidRDefault="00214E71" w:rsidP="00382B43">
            <w:pPr>
              <w:rPr>
                <w:sz w:val="24"/>
                <w:szCs w:val="24"/>
                <w:lang w:eastAsia="en-GB"/>
              </w:rPr>
            </w:pPr>
          </w:p>
        </w:tc>
        <w:tc>
          <w:tcPr>
            <w:tcW w:w="518" w:type="pct"/>
            <w:tcBorders>
              <w:top w:val="nil"/>
              <w:left w:val="nil"/>
              <w:bottom w:val="nil"/>
              <w:right w:val="nil"/>
            </w:tcBorders>
            <w:shd w:val="clear" w:color="auto" w:fill="auto"/>
            <w:noWrap/>
            <w:vAlign w:val="center"/>
            <w:hideMark/>
          </w:tcPr>
          <w:p w14:paraId="71F3FB00" w14:textId="77777777" w:rsidR="00214E71" w:rsidRPr="0081325D" w:rsidRDefault="00214E71" w:rsidP="00382B43">
            <w:pPr>
              <w:rPr>
                <w:sz w:val="20"/>
                <w:szCs w:val="20"/>
                <w:lang w:eastAsia="en-GB"/>
              </w:rPr>
            </w:pPr>
          </w:p>
        </w:tc>
        <w:tc>
          <w:tcPr>
            <w:tcW w:w="959" w:type="pct"/>
            <w:tcBorders>
              <w:top w:val="nil"/>
              <w:left w:val="nil"/>
              <w:bottom w:val="nil"/>
              <w:right w:val="nil"/>
            </w:tcBorders>
            <w:shd w:val="clear" w:color="auto" w:fill="auto"/>
            <w:vAlign w:val="center"/>
            <w:hideMark/>
          </w:tcPr>
          <w:p w14:paraId="37F11A86" w14:textId="77777777" w:rsidR="00214E71" w:rsidRPr="0081325D" w:rsidRDefault="00214E71" w:rsidP="00382B43">
            <w:pPr>
              <w:jc w:val="right"/>
              <w:rPr>
                <w:rFonts w:ascii="Calibri" w:hAnsi="Calibri" w:cs="Calibri"/>
                <w:b/>
                <w:bCs/>
                <w:color w:val="000000"/>
                <w:lang w:eastAsia="en-GB"/>
              </w:rPr>
            </w:pPr>
            <w:r w:rsidRPr="0081325D">
              <w:rPr>
                <w:rFonts w:ascii="Calibri" w:hAnsi="Calibri" w:cs="Calibri"/>
                <w:b/>
                <w:bCs/>
                <w:i/>
                <w:iCs/>
                <w:color w:val="000000"/>
                <w:lang w:eastAsia="en-GB"/>
              </w:rPr>
              <w:t>Audited</w:t>
            </w:r>
            <w:r w:rsidRPr="0081325D">
              <w:rPr>
                <w:rFonts w:ascii="Calibri" w:hAnsi="Calibri" w:cs="Calibri"/>
                <w:b/>
                <w:bCs/>
                <w:color w:val="000000"/>
                <w:lang w:eastAsia="en-GB"/>
              </w:rPr>
              <w:t xml:space="preserve"> </w:t>
            </w:r>
            <w:r w:rsidRPr="0081325D">
              <w:rPr>
                <w:rFonts w:ascii="Calibri" w:hAnsi="Calibri" w:cs="Calibri"/>
                <w:b/>
                <w:bCs/>
                <w:color w:val="000000"/>
                <w:lang w:eastAsia="en-GB"/>
              </w:rPr>
              <w:br/>
              <w:t xml:space="preserve">Year ended </w:t>
            </w:r>
            <w:r w:rsidRPr="0081325D">
              <w:rPr>
                <w:rFonts w:ascii="Calibri" w:hAnsi="Calibri" w:cs="Calibri"/>
                <w:b/>
                <w:bCs/>
                <w:color w:val="000000"/>
                <w:lang w:eastAsia="en-GB"/>
              </w:rPr>
              <w:br/>
              <w:t>30 November 2022</w:t>
            </w:r>
          </w:p>
        </w:tc>
        <w:tc>
          <w:tcPr>
            <w:tcW w:w="959" w:type="pct"/>
            <w:tcBorders>
              <w:top w:val="nil"/>
              <w:left w:val="nil"/>
              <w:bottom w:val="nil"/>
              <w:right w:val="nil"/>
            </w:tcBorders>
            <w:shd w:val="clear" w:color="auto" w:fill="auto"/>
            <w:vAlign w:val="center"/>
            <w:hideMark/>
          </w:tcPr>
          <w:p w14:paraId="37935355" w14:textId="77777777" w:rsidR="00214E71" w:rsidRPr="0081325D" w:rsidRDefault="00214E71" w:rsidP="00382B43">
            <w:pPr>
              <w:jc w:val="right"/>
              <w:rPr>
                <w:rFonts w:ascii="Calibri" w:hAnsi="Calibri" w:cs="Calibri"/>
                <w:b/>
                <w:bCs/>
                <w:color w:val="000000"/>
                <w:lang w:eastAsia="en-GB"/>
              </w:rPr>
            </w:pPr>
            <w:r w:rsidRPr="0081325D">
              <w:rPr>
                <w:rFonts w:ascii="Calibri" w:hAnsi="Calibri" w:cs="Calibri"/>
                <w:b/>
                <w:bCs/>
                <w:i/>
                <w:iCs/>
                <w:color w:val="000000"/>
                <w:lang w:eastAsia="en-GB"/>
              </w:rPr>
              <w:t>Restated</w:t>
            </w:r>
            <w:r w:rsidRPr="0081325D">
              <w:rPr>
                <w:rFonts w:ascii="Calibri" w:hAnsi="Calibri" w:cs="Calibri"/>
                <w:b/>
                <w:bCs/>
                <w:color w:val="000000"/>
                <w:lang w:eastAsia="en-GB"/>
              </w:rPr>
              <w:t xml:space="preserve"> </w:t>
            </w:r>
            <w:r w:rsidRPr="0081325D">
              <w:rPr>
                <w:rFonts w:ascii="Calibri" w:hAnsi="Calibri" w:cs="Calibri"/>
                <w:b/>
                <w:bCs/>
                <w:color w:val="000000"/>
                <w:lang w:eastAsia="en-GB"/>
              </w:rPr>
              <w:br/>
              <w:t xml:space="preserve">Year ended </w:t>
            </w:r>
            <w:r w:rsidRPr="0081325D">
              <w:rPr>
                <w:rFonts w:ascii="Calibri" w:hAnsi="Calibri" w:cs="Calibri"/>
                <w:b/>
                <w:bCs/>
                <w:color w:val="000000"/>
                <w:lang w:eastAsia="en-GB"/>
              </w:rPr>
              <w:br/>
              <w:t>30 November 2021</w:t>
            </w:r>
          </w:p>
        </w:tc>
      </w:tr>
      <w:tr w:rsidR="00214E71" w:rsidRPr="0081325D" w14:paraId="5A786A0C" w14:textId="77777777" w:rsidTr="00382B43">
        <w:trPr>
          <w:trHeight w:val="405"/>
        </w:trPr>
        <w:tc>
          <w:tcPr>
            <w:tcW w:w="2564" w:type="pct"/>
            <w:tcBorders>
              <w:top w:val="nil"/>
              <w:left w:val="nil"/>
              <w:bottom w:val="nil"/>
              <w:right w:val="nil"/>
            </w:tcBorders>
            <w:shd w:val="clear" w:color="auto" w:fill="auto"/>
            <w:noWrap/>
            <w:vAlign w:val="bottom"/>
            <w:hideMark/>
          </w:tcPr>
          <w:p w14:paraId="129FB98C" w14:textId="77777777" w:rsidR="00214E71" w:rsidRPr="0081325D" w:rsidRDefault="00214E71" w:rsidP="00382B43">
            <w:pPr>
              <w:jc w:val="right"/>
              <w:rPr>
                <w:rFonts w:ascii="Calibri" w:hAnsi="Calibri" w:cs="Calibri"/>
                <w:b/>
                <w:bCs/>
                <w:color w:val="000000"/>
                <w:lang w:eastAsia="en-GB"/>
              </w:rPr>
            </w:pPr>
          </w:p>
        </w:tc>
        <w:tc>
          <w:tcPr>
            <w:tcW w:w="518" w:type="pct"/>
            <w:tcBorders>
              <w:top w:val="nil"/>
              <w:left w:val="nil"/>
              <w:bottom w:val="nil"/>
              <w:right w:val="nil"/>
            </w:tcBorders>
            <w:shd w:val="clear" w:color="auto" w:fill="auto"/>
            <w:noWrap/>
            <w:vAlign w:val="center"/>
            <w:hideMark/>
          </w:tcPr>
          <w:p w14:paraId="149DE284" w14:textId="63EB2FD2" w:rsidR="00214E71" w:rsidRPr="0081325D" w:rsidRDefault="00214E71" w:rsidP="00382B43">
            <w:pPr>
              <w:jc w:val="center"/>
              <w:rPr>
                <w:rFonts w:ascii="Calibri" w:hAnsi="Calibri" w:cs="Calibri"/>
                <w:b/>
                <w:bCs/>
                <w:color w:val="000000"/>
                <w:lang w:eastAsia="en-GB"/>
              </w:rPr>
            </w:pPr>
          </w:p>
        </w:tc>
        <w:tc>
          <w:tcPr>
            <w:tcW w:w="959" w:type="pct"/>
            <w:tcBorders>
              <w:top w:val="nil"/>
              <w:left w:val="nil"/>
              <w:bottom w:val="nil"/>
              <w:right w:val="nil"/>
            </w:tcBorders>
            <w:shd w:val="clear" w:color="auto" w:fill="auto"/>
            <w:noWrap/>
            <w:vAlign w:val="bottom"/>
            <w:hideMark/>
          </w:tcPr>
          <w:p w14:paraId="08078D57" w14:textId="77777777" w:rsidR="00214E71" w:rsidRPr="0081325D" w:rsidRDefault="00214E71" w:rsidP="00382B43">
            <w:pPr>
              <w:jc w:val="right"/>
              <w:rPr>
                <w:rFonts w:ascii="Calibri" w:hAnsi="Calibri" w:cs="Calibri"/>
                <w:b/>
                <w:bCs/>
                <w:color w:val="000000"/>
                <w:lang w:eastAsia="en-GB"/>
              </w:rPr>
            </w:pPr>
            <w:r w:rsidRPr="0081325D">
              <w:rPr>
                <w:rFonts w:ascii="Calibri" w:hAnsi="Calibri" w:cs="Calibri"/>
                <w:b/>
                <w:bCs/>
                <w:color w:val="000000"/>
                <w:lang w:eastAsia="en-GB"/>
              </w:rPr>
              <w:t>£'000</w:t>
            </w:r>
          </w:p>
        </w:tc>
        <w:tc>
          <w:tcPr>
            <w:tcW w:w="959" w:type="pct"/>
            <w:tcBorders>
              <w:top w:val="nil"/>
              <w:left w:val="nil"/>
              <w:bottom w:val="nil"/>
              <w:right w:val="nil"/>
            </w:tcBorders>
            <w:shd w:val="clear" w:color="auto" w:fill="auto"/>
            <w:noWrap/>
            <w:vAlign w:val="bottom"/>
            <w:hideMark/>
          </w:tcPr>
          <w:p w14:paraId="24C5FC9A" w14:textId="77777777" w:rsidR="00214E71" w:rsidRPr="0081325D" w:rsidRDefault="00214E71" w:rsidP="00382B43">
            <w:pPr>
              <w:jc w:val="right"/>
              <w:rPr>
                <w:rFonts w:ascii="Calibri" w:hAnsi="Calibri" w:cs="Calibri"/>
                <w:b/>
                <w:bCs/>
                <w:color w:val="000000"/>
                <w:lang w:eastAsia="en-GB"/>
              </w:rPr>
            </w:pPr>
            <w:r w:rsidRPr="0081325D">
              <w:rPr>
                <w:rFonts w:ascii="Calibri" w:hAnsi="Calibri" w:cs="Calibri"/>
                <w:b/>
                <w:bCs/>
                <w:color w:val="000000"/>
                <w:lang w:eastAsia="en-GB"/>
              </w:rPr>
              <w:t>£'000</w:t>
            </w:r>
          </w:p>
        </w:tc>
      </w:tr>
      <w:tr w:rsidR="00214E71" w:rsidRPr="0081325D" w14:paraId="040F6DBD" w14:textId="77777777" w:rsidTr="00382B43">
        <w:trPr>
          <w:trHeight w:val="369"/>
        </w:trPr>
        <w:tc>
          <w:tcPr>
            <w:tcW w:w="2564" w:type="pct"/>
            <w:tcBorders>
              <w:top w:val="single" w:sz="4" w:space="0" w:color="auto"/>
              <w:left w:val="nil"/>
              <w:bottom w:val="nil"/>
              <w:right w:val="nil"/>
            </w:tcBorders>
            <w:shd w:val="clear" w:color="auto" w:fill="auto"/>
            <w:noWrap/>
            <w:vAlign w:val="center"/>
            <w:hideMark/>
          </w:tcPr>
          <w:p w14:paraId="588940D9" w14:textId="77777777" w:rsidR="00214E71" w:rsidRPr="0081325D" w:rsidRDefault="00214E71" w:rsidP="00382B43">
            <w:pPr>
              <w:rPr>
                <w:rFonts w:ascii="Calibri" w:hAnsi="Calibri" w:cs="Calibri"/>
                <w:b/>
                <w:bCs/>
                <w:color w:val="000000"/>
                <w:lang w:eastAsia="en-GB"/>
              </w:rPr>
            </w:pPr>
            <w:r w:rsidRPr="0081325D">
              <w:rPr>
                <w:rFonts w:ascii="Calibri" w:hAnsi="Calibri" w:cs="Calibri"/>
                <w:b/>
                <w:bCs/>
                <w:color w:val="000000"/>
                <w:lang w:eastAsia="en-GB"/>
              </w:rPr>
              <w:t>Cash flow from operating activities</w:t>
            </w:r>
          </w:p>
        </w:tc>
        <w:tc>
          <w:tcPr>
            <w:tcW w:w="518" w:type="pct"/>
            <w:tcBorders>
              <w:top w:val="single" w:sz="4" w:space="0" w:color="auto"/>
              <w:left w:val="nil"/>
              <w:bottom w:val="nil"/>
              <w:right w:val="nil"/>
            </w:tcBorders>
            <w:shd w:val="clear" w:color="auto" w:fill="auto"/>
            <w:noWrap/>
            <w:vAlign w:val="center"/>
            <w:hideMark/>
          </w:tcPr>
          <w:p w14:paraId="2489B3A7" w14:textId="77777777" w:rsidR="00214E71" w:rsidRPr="0081325D" w:rsidRDefault="00214E71" w:rsidP="00382B43">
            <w:pPr>
              <w:jc w:val="center"/>
              <w:rPr>
                <w:rFonts w:ascii="Calibri" w:hAnsi="Calibri" w:cs="Calibri"/>
                <w:b/>
                <w:bCs/>
                <w:color w:val="000000"/>
                <w:lang w:eastAsia="en-GB"/>
              </w:rPr>
            </w:pPr>
            <w:r w:rsidRPr="0081325D">
              <w:rPr>
                <w:rFonts w:ascii="Calibri" w:hAnsi="Calibri" w:cs="Calibri"/>
                <w:b/>
                <w:bCs/>
                <w:color w:val="000000"/>
                <w:lang w:eastAsia="en-GB"/>
              </w:rPr>
              <w:t> </w:t>
            </w:r>
          </w:p>
        </w:tc>
        <w:tc>
          <w:tcPr>
            <w:tcW w:w="959" w:type="pct"/>
            <w:tcBorders>
              <w:top w:val="single" w:sz="4" w:space="0" w:color="auto"/>
              <w:left w:val="nil"/>
              <w:bottom w:val="nil"/>
              <w:right w:val="nil"/>
            </w:tcBorders>
            <w:shd w:val="clear" w:color="000000" w:fill="FFFFFF"/>
            <w:noWrap/>
            <w:vAlign w:val="center"/>
            <w:hideMark/>
          </w:tcPr>
          <w:p w14:paraId="51BDD9F2"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c>
          <w:tcPr>
            <w:tcW w:w="959" w:type="pct"/>
            <w:tcBorders>
              <w:top w:val="single" w:sz="4" w:space="0" w:color="auto"/>
              <w:left w:val="nil"/>
              <w:bottom w:val="nil"/>
              <w:right w:val="nil"/>
            </w:tcBorders>
            <w:shd w:val="clear" w:color="000000" w:fill="FFFFFF"/>
            <w:noWrap/>
            <w:vAlign w:val="center"/>
            <w:hideMark/>
          </w:tcPr>
          <w:p w14:paraId="7B5EEF4E"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r>
      <w:tr w:rsidR="00214E71" w:rsidRPr="0081325D" w14:paraId="29E2E5DC" w14:textId="77777777" w:rsidTr="00382B43">
        <w:trPr>
          <w:trHeight w:val="408"/>
        </w:trPr>
        <w:tc>
          <w:tcPr>
            <w:tcW w:w="2564" w:type="pct"/>
            <w:tcBorders>
              <w:top w:val="nil"/>
              <w:left w:val="nil"/>
              <w:bottom w:val="nil"/>
              <w:right w:val="nil"/>
            </w:tcBorders>
            <w:shd w:val="clear" w:color="auto" w:fill="auto"/>
            <w:noWrap/>
            <w:vAlign w:val="center"/>
            <w:hideMark/>
          </w:tcPr>
          <w:p w14:paraId="5EF19C70" w14:textId="77777777" w:rsidR="00214E71" w:rsidRPr="0081325D" w:rsidRDefault="00214E71" w:rsidP="00382B43">
            <w:pPr>
              <w:rPr>
                <w:rFonts w:ascii="Calibri" w:hAnsi="Calibri" w:cs="Calibri"/>
                <w:color w:val="000000"/>
                <w:lang w:eastAsia="en-GB"/>
              </w:rPr>
            </w:pPr>
            <w:r w:rsidRPr="0081325D">
              <w:rPr>
                <w:rFonts w:ascii="Calibri" w:hAnsi="Calibri" w:cs="Calibri"/>
                <w:color w:val="000000"/>
                <w:lang w:eastAsia="en-GB"/>
              </w:rPr>
              <w:t xml:space="preserve"> Loss for the financial year</w:t>
            </w:r>
          </w:p>
        </w:tc>
        <w:tc>
          <w:tcPr>
            <w:tcW w:w="518" w:type="pct"/>
            <w:tcBorders>
              <w:top w:val="nil"/>
              <w:left w:val="nil"/>
              <w:bottom w:val="nil"/>
              <w:right w:val="nil"/>
            </w:tcBorders>
            <w:shd w:val="clear" w:color="auto" w:fill="auto"/>
            <w:noWrap/>
            <w:vAlign w:val="center"/>
            <w:hideMark/>
          </w:tcPr>
          <w:p w14:paraId="760B580A" w14:textId="77777777" w:rsidR="00214E71" w:rsidRPr="0081325D" w:rsidRDefault="00214E71" w:rsidP="00382B43">
            <w:pPr>
              <w:rPr>
                <w:rFonts w:ascii="Calibri" w:hAnsi="Calibri" w:cs="Calibri"/>
                <w:color w:val="000000"/>
                <w:lang w:eastAsia="en-GB"/>
              </w:rPr>
            </w:pPr>
          </w:p>
        </w:tc>
        <w:tc>
          <w:tcPr>
            <w:tcW w:w="959" w:type="pct"/>
            <w:tcBorders>
              <w:top w:val="nil"/>
              <w:left w:val="nil"/>
              <w:bottom w:val="nil"/>
              <w:right w:val="nil"/>
            </w:tcBorders>
            <w:shd w:val="clear" w:color="000000" w:fill="FFFFFF"/>
            <w:noWrap/>
            <w:vAlign w:val="center"/>
            <w:hideMark/>
          </w:tcPr>
          <w:p w14:paraId="2C3D724B" w14:textId="77777777" w:rsidR="00214E71" w:rsidRPr="0081325D" w:rsidRDefault="00214E71" w:rsidP="00382B43">
            <w:pPr>
              <w:jc w:val="right"/>
              <w:rPr>
                <w:rFonts w:ascii="Calibri" w:hAnsi="Calibri" w:cs="Calibri"/>
                <w:lang w:eastAsia="en-GB"/>
              </w:rPr>
            </w:pPr>
            <w:r w:rsidRPr="0081325D">
              <w:rPr>
                <w:rFonts w:ascii="Calibri" w:hAnsi="Calibri" w:cs="Calibri"/>
                <w:color w:val="000000"/>
                <w:lang w:eastAsia="en-GB"/>
              </w:rPr>
              <w:t>(1,006)</w:t>
            </w:r>
          </w:p>
        </w:tc>
        <w:tc>
          <w:tcPr>
            <w:tcW w:w="959" w:type="pct"/>
            <w:tcBorders>
              <w:top w:val="nil"/>
              <w:left w:val="nil"/>
              <w:bottom w:val="nil"/>
              <w:right w:val="nil"/>
            </w:tcBorders>
            <w:shd w:val="clear" w:color="000000" w:fill="FFFFFF"/>
            <w:noWrap/>
            <w:vAlign w:val="center"/>
            <w:hideMark/>
          </w:tcPr>
          <w:p w14:paraId="4C56680F" w14:textId="77777777" w:rsidR="00214E71" w:rsidRPr="0081325D" w:rsidRDefault="00214E71" w:rsidP="00382B43">
            <w:pPr>
              <w:jc w:val="right"/>
              <w:rPr>
                <w:rFonts w:ascii="Calibri" w:hAnsi="Calibri" w:cs="Calibri"/>
                <w:lang w:eastAsia="en-GB"/>
              </w:rPr>
            </w:pPr>
            <w:r w:rsidRPr="0081325D">
              <w:rPr>
                <w:rFonts w:ascii="Calibri" w:hAnsi="Calibri" w:cs="Calibri"/>
                <w:color w:val="000000"/>
                <w:lang w:eastAsia="en-GB"/>
              </w:rPr>
              <w:t>(1,269)</w:t>
            </w:r>
          </w:p>
        </w:tc>
      </w:tr>
      <w:tr w:rsidR="00214E71" w:rsidRPr="0081325D" w14:paraId="6E3C0BEA" w14:textId="77777777" w:rsidTr="00382B43">
        <w:trPr>
          <w:trHeight w:val="408"/>
        </w:trPr>
        <w:tc>
          <w:tcPr>
            <w:tcW w:w="2564" w:type="pct"/>
            <w:tcBorders>
              <w:top w:val="nil"/>
              <w:left w:val="nil"/>
              <w:bottom w:val="nil"/>
              <w:right w:val="nil"/>
            </w:tcBorders>
            <w:shd w:val="clear" w:color="auto" w:fill="auto"/>
            <w:noWrap/>
            <w:vAlign w:val="center"/>
            <w:hideMark/>
          </w:tcPr>
          <w:p w14:paraId="0098FDAC" w14:textId="77777777" w:rsidR="00214E71" w:rsidRPr="0081325D" w:rsidRDefault="00214E71" w:rsidP="00382B43">
            <w:pPr>
              <w:rPr>
                <w:rFonts w:ascii="Calibri" w:hAnsi="Calibri" w:cs="Calibri"/>
                <w:i/>
                <w:iCs/>
                <w:color w:val="000000"/>
                <w:lang w:eastAsia="en-GB"/>
              </w:rPr>
            </w:pPr>
            <w:r w:rsidRPr="0081325D">
              <w:rPr>
                <w:rFonts w:ascii="Calibri" w:hAnsi="Calibri" w:cs="Calibri"/>
                <w:i/>
                <w:iCs/>
                <w:color w:val="000000"/>
                <w:lang w:eastAsia="en-GB"/>
              </w:rPr>
              <w:t>Adjustments for:</w:t>
            </w:r>
          </w:p>
        </w:tc>
        <w:tc>
          <w:tcPr>
            <w:tcW w:w="518" w:type="pct"/>
            <w:tcBorders>
              <w:top w:val="nil"/>
              <w:left w:val="nil"/>
              <w:bottom w:val="nil"/>
              <w:right w:val="nil"/>
            </w:tcBorders>
            <w:shd w:val="clear" w:color="auto" w:fill="auto"/>
            <w:noWrap/>
            <w:vAlign w:val="center"/>
            <w:hideMark/>
          </w:tcPr>
          <w:p w14:paraId="08484D4F" w14:textId="77777777" w:rsidR="00214E71" w:rsidRPr="0081325D" w:rsidRDefault="00214E71" w:rsidP="00382B43">
            <w:pPr>
              <w:rPr>
                <w:rFonts w:ascii="Calibri" w:hAnsi="Calibri" w:cs="Calibri"/>
                <w:i/>
                <w:iCs/>
                <w:color w:val="000000"/>
                <w:lang w:eastAsia="en-GB"/>
              </w:rPr>
            </w:pPr>
          </w:p>
        </w:tc>
        <w:tc>
          <w:tcPr>
            <w:tcW w:w="959" w:type="pct"/>
            <w:tcBorders>
              <w:top w:val="nil"/>
              <w:left w:val="nil"/>
              <w:bottom w:val="nil"/>
              <w:right w:val="nil"/>
            </w:tcBorders>
            <w:shd w:val="clear" w:color="000000" w:fill="FFFFFF"/>
            <w:noWrap/>
            <w:vAlign w:val="center"/>
            <w:hideMark/>
          </w:tcPr>
          <w:p w14:paraId="58CA8E6A"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c>
          <w:tcPr>
            <w:tcW w:w="959" w:type="pct"/>
            <w:tcBorders>
              <w:top w:val="nil"/>
              <w:left w:val="nil"/>
              <w:bottom w:val="nil"/>
              <w:right w:val="nil"/>
            </w:tcBorders>
            <w:shd w:val="clear" w:color="000000" w:fill="FFFFFF"/>
            <w:noWrap/>
            <w:vAlign w:val="center"/>
            <w:hideMark/>
          </w:tcPr>
          <w:p w14:paraId="6DC65F1F"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r>
      <w:tr w:rsidR="00214E71" w:rsidRPr="0081325D" w14:paraId="21033AC3" w14:textId="77777777" w:rsidTr="00382B43">
        <w:trPr>
          <w:trHeight w:val="408"/>
        </w:trPr>
        <w:tc>
          <w:tcPr>
            <w:tcW w:w="2564" w:type="pct"/>
            <w:tcBorders>
              <w:top w:val="nil"/>
              <w:left w:val="nil"/>
              <w:bottom w:val="nil"/>
              <w:right w:val="nil"/>
            </w:tcBorders>
            <w:shd w:val="clear" w:color="auto" w:fill="auto"/>
            <w:noWrap/>
            <w:vAlign w:val="center"/>
            <w:hideMark/>
          </w:tcPr>
          <w:p w14:paraId="10A20054" w14:textId="77777777" w:rsidR="00214E71" w:rsidRPr="0081325D" w:rsidRDefault="00214E71" w:rsidP="00382B43">
            <w:pPr>
              <w:rPr>
                <w:rFonts w:ascii="Calibri" w:hAnsi="Calibri" w:cs="Calibri"/>
                <w:color w:val="000000"/>
                <w:lang w:eastAsia="en-GB"/>
              </w:rPr>
            </w:pPr>
            <w:r w:rsidRPr="0081325D">
              <w:rPr>
                <w:rFonts w:ascii="Calibri" w:hAnsi="Calibri" w:cs="Calibri"/>
                <w:color w:val="000000"/>
                <w:lang w:eastAsia="en-GB"/>
              </w:rPr>
              <w:t>Share based payments</w:t>
            </w:r>
          </w:p>
        </w:tc>
        <w:tc>
          <w:tcPr>
            <w:tcW w:w="518" w:type="pct"/>
            <w:tcBorders>
              <w:top w:val="nil"/>
              <w:left w:val="nil"/>
              <w:bottom w:val="nil"/>
              <w:right w:val="nil"/>
            </w:tcBorders>
            <w:shd w:val="clear" w:color="auto" w:fill="auto"/>
            <w:noWrap/>
            <w:vAlign w:val="center"/>
            <w:hideMark/>
          </w:tcPr>
          <w:p w14:paraId="31F354C8" w14:textId="77777777" w:rsidR="00214E71" w:rsidRPr="0081325D" w:rsidRDefault="00214E71" w:rsidP="00382B43">
            <w:pPr>
              <w:rPr>
                <w:rFonts w:ascii="Calibri" w:hAnsi="Calibri" w:cs="Calibri"/>
                <w:color w:val="000000"/>
                <w:lang w:eastAsia="en-GB"/>
              </w:rPr>
            </w:pPr>
          </w:p>
        </w:tc>
        <w:tc>
          <w:tcPr>
            <w:tcW w:w="959" w:type="pct"/>
            <w:tcBorders>
              <w:top w:val="nil"/>
              <w:left w:val="nil"/>
              <w:bottom w:val="nil"/>
              <w:right w:val="nil"/>
            </w:tcBorders>
            <w:shd w:val="clear" w:color="auto" w:fill="auto"/>
            <w:noWrap/>
            <w:vAlign w:val="center"/>
            <w:hideMark/>
          </w:tcPr>
          <w:p w14:paraId="5F085452" w14:textId="77777777" w:rsidR="00214E71" w:rsidRPr="0081325D" w:rsidRDefault="00214E71" w:rsidP="00382B43">
            <w:pPr>
              <w:jc w:val="right"/>
              <w:rPr>
                <w:rFonts w:ascii="Calibri" w:hAnsi="Calibri" w:cs="Calibri"/>
                <w:color w:val="000000"/>
                <w:lang w:eastAsia="en-GB"/>
              </w:rPr>
            </w:pPr>
            <w:r w:rsidRPr="0081325D">
              <w:rPr>
                <w:rFonts w:ascii="Calibri" w:hAnsi="Calibri" w:cs="Calibri"/>
                <w:color w:val="000000"/>
                <w:lang w:eastAsia="en-GB"/>
              </w:rPr>
              <w:t>-</w:t>
            </w:r>
          </w:p>
        </w:tc>
        <w:tc>
          <w:tcPr>
            <w:tcW w:w="959" w:type="pct"/>
            <w:tcBorders>
              <w:top w:val="nil"/>
              <w:left w:val="nil"/>
              <w:bottom w:val="nil"/>
              <w:right w:val="nil"/>
            </w:tcBorders>
            <w:shd w:val="clear" w:color="000000" w:fill="FFFFFF"/>
            <w:noWrap/>
            <w:vAlign w:val="center"/>
            <w:hideMark/>
          </w:tcPr>
          <w:p w14:paraId="5D97BB8F"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636</w:t>
            </w:r>
          </w:p>
        </w:tc>
      </w:tr>
      <w:tr w:rsidR="00214E71" w:rsidRPr="0081325D" w14:paraId="4E09E00E" w14:textId="77777777" w:rsidTr="00382B43">
        <w:trPr>
          <w:trHeight w:val="408"/>
        </w:trPr>
        <w:tc>
          <w:tcPr>
            <w:tcW w:w="2564" w:type="pct"/>
            <w:tcBorders>
              <w:top w:val="nil"/>
              <w:left w:val="nil"/>
              <w:bottom w:val="nil"/>
              <w:right w:val="nil"/>
            </w:tcBorders>
            <w:shd w:val="clear" w:color="auto" w:fill="auto"/>
            <w:noWrap/>
            <w:vAlign w:val="center"/>
          </w:tcPr>
          <w:p w14:paraId="13F20E34" w14:textId="77777777" w:rsidR="00214E71" w:rsidRPr="0081325D" w:rsidRDefault="00214E71" w:rsidP="00382B43">
            <w:pPr>
              <w:rPr>
                <w:rFonts w:ascii="Calibri" w:hAnsi="Calibri" w:cs="Calibri"/>
                <w:color w:val="000000"/>
                <w:lang w:eastAsia="en-GB"/>
              </w:rPr>
            </w:pPr>
            <w:r w:rsidRPr="0081325D">
              <w:rPr>
                <w:rFonts w:ascii="Calibri" w:hAnsi="Calibri" w:cs="Calibri"/>
                <w:color w:val="000000"/>
                <w:lang w:eastAsia="en-GB"/>
              </w:rPr>
              <w:t>Settlement of fees through issue of equity</w:t>
            </w:r>
          </w:p>
        </w:tc>
        <w:tc>
          <w:tcPr>
            <w:tcW w:w="518" w:type="pct"/>
            <w:tcBorders>
              <w:top w:val="nil"/>
              <w:left w:val="nil"/>
              <w:bottom w:val="nil"/>
              <w:right w:val="nil"/>
            </w:tcBorders>
            <w:shd w:val="clear" w:color="auto" w:fill="auto"/>
            <w:noWrap/>
            <w:vAlign w:val="center"/>
          </w:tcPr>
          <w:p w14:paraId="48179FAE" w14:textId="77777777" w:rsidR="00214E71" w:rsidRPr="0081325D" w:rsidRDefault="00214E71" w:rsidP="00382B43">
            <w:pPr>
              <w:rPr>
                <w:rFonts w:ascii="Calibri" w:hAnsi="Calibri" w:cs="Calibri"/>
                <w:color w:val="000000"/>
                <w:lang w:eastAsia="en-GB"/>
              </w:rPr>
            </w:pPr>
          </w:p>
        </w:tc>
        <w:tc>
          <w:tcPr>
            <w:tcW w:w="959" w:type="pct"/>
            <w:tcBorders>
              <w:top w:val="nil"/>
              <w:left w:val="nil"/>
              <w:bottom w:val="nil"/>
              <w:right w:val="nil"/>
            </w:tcBorders>
            <w:shd w:val="clear" w:color="auto" w:fill="auto"/>
            <w:noWrap/>
            <w:vAlign w:val="center"/>
          </w:tcPr>
          <w:p w14:paraId="4D55B84B" w14:textId="77777777" w:rsidR="00214E71" w:rsidRPr="0081325D" w:rsidRDefault="00214E71" w:rsidP="00382B43">
            <w:pPr>
              <w:jc w:val="right"/>
              <w:rPr>
                <w:rFonts w:ascii="Calibri" w:hAnsi="Calibri" w:cs="Calibri"/>
                <w:color w:val="000000"/>
                <w:lang w:eastAsia="en-GB"/>
              </w:rPr>
            </w:pPr>
            <w:r w:rsidRPr="0081325D">
              <w:rPr>
                <w:rFonts w:ascii="Calibri" w:hAnsi="Calibri" w:cs="Calibri"/>
                <w:color w:val="000000"/>
                <w:lang w:eastAsia="en-GB"/>
              </w:rPr>
              <w:t>204</w:t>
            </w:r>
          </w:p>
        </w:tc>
        <w:tc>
          <w:tcPr>
            <w:tcW w:w="959" w:type="pct"/>
            <w:tcBorders>
              <w:top w:val="nil"/>
              <w:left w:val="nil"/>
              <w:bottom w:val="nil"/>
              <w:right w:val="nil"/>
            </w:tcBorders>
            <w:shd w:val="clear" w:color="000000" w:fill="FFFFFF"/>
            <w:noWrap/>
            <w:vAlign w:val="center"/>
          </w:tcPr>
          <w:p w14:paraId="6C8BE62B" w14:textId="77777777" w:rsidR="00214E71" w:rsidRPr="0081325D" w:rsidRDefault="00214E71" w:rsidP="00382B43">
            <w:pPr>
              <w:jc w:val="right"/>
              <w:rPr>
                <w:rFonts w:ascii="Calibri" w:hAnsi="Calibri" w:cs="Calibri"/>
                <w:lang w:eastAsia="en-GB"/>
              </w:rPr>
            </w:pPr>
          </w:p>
        </w:tc>
      </w:tr>
      <w:tr w:rsidR="00214E71" w:rsidRPr="0081325D" w14:paraId="62B59A2A" w14:textId="77777777" w:rsidTr="00382B43">
        <w:trPr>
          <w:trHeight w:val="408"/>
        </w:trPr>
        <w:tc>
          <w:tcPr>
            <w:tcW w:w="2564" w:type="pct"/>
            <w:tcBorders>
              <w:top w:val="nil"/>
              <w:left w:val="nil"/>
              <w:bottom w:val="nil"/>
              <w:right w:val="nil"/>
            </w:tcBorders>
            <w:shd w:val="clear" w:color="auto" w:fill="auto"/>
            <w:noWrap/>
            <w:vAlign w:val="center"/>
            <w:hideMark/>
          </w:tcPr>
          <w:p w14:paraId="6BE54A3B" w14:textId="77777777" w:rsidR="00214E71" w:rsidRPr="0081325D" w:rsidRDefault="00214E71" w:rsidP="00382B43">
            <w:pPr>
              <w:rPr>
                <w:rFonts w:ascii="Calibri" w:hAnsi="Calibri" w:cs="Calibri"/>
                <w:color w:val="000000"/>
                <w:lang w:eastAsia="en-GB"/>
              </w:rPr>
            </w:pPr>
            <w:r w:rsidRPr="0081325D">
              <w:rPr>
                <w:rFonts w:ascii="Calibri" w:hAnsi="Calibri" w:cs="Calibri"/>
                <w:color w:val="000000"/>
                <w:lang w:eastAsia="en-GB"/>
              </w:rPr>
              <w:t>Foreign exchange movements</w:t>
            </w:r>
          </w:p>
        </w:tc>
        <w:tc>
          <w:tcPr>
            <w:tcW w:w="518" w:type="pct"/>
            <w:tcBorders>
              <w:top w:val="nil"/>
              <w:left w:val="nil"/>
              <w:bottom w:val="nil"/>
              <w:right w:val="nil"/>
            </w:tcBorders>
            <w:shd w:val="clear" w:color="auto" w:fill="auto"/>
            <w:noWrap/>
            <w:vAlign w:val="center"/>
            <w:hideMark/>
          </w:tcPr>
          <w:p w14:paraId="565DAEC5" w14:textId="77777777" w:rsidR="00214E71" w:rsidRPr="0081325D" w:rsidRDefault="00214E71" w:rsidP="00382B43">
            <w:pPr>
              <w:rPr>
                <w:rFonts w:ascii="Calibri" w:hAnsi="Calibri" w:cs="Calibri"/>
                <w:color w:val="000000"/>
                <w:lang w:eastAsia="en-GB"/>
              </w:rPr>
            </w:pPr>
          </w:p>
        </w:tc>
        <w:tc>
          <w:tcPr>
            <w:tcW w:w="959" w:type="pct"/>
            <w:tcBorders>
              <w:top w:val="nil"/>
              <w:left w:val="nil"/>
              <w:bottom w:val="nil"/>
              <w:right w:val="nil"/>
            </w:tcBorders>
            <w:shd w:val="clear" w:color="000000" w:fill="FFFFFF"/>
            <w:noWrap/>
            <w:vAlign w:val="center"/>
            <w:hideMark/>
          </w:tcPr>
          <w:p w14:paraId="6306A6C9"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(5)</w:t>
            </w:r>
          </w:p>
        </w:tc>
        <w:tc>
          <w:tcPr>
            <w:tcW w:w="959" w:type="pct"/>
            <w:tcBorders>
              <w:top w:val="nil"/>
              <w:left w:val="nil"/>
              <w:bottom w:val="nil"/>
              <w:right w:val="nil"/>
            </w:tcBorders>
            <w:shd w:val="clear" w:color="000000" w:fill="FFFFFF"/>
            <w:noWrap/>
            <w:vAlign w:val="center"/>
            <w:hideMark/>
          </w:tcPr>
          <w:p w14:paraId="11396A74" w14:textId="77777777" w:rsidR="00214E71" w:rsidRPr="0081325D" w:rsidRDefault="00214E71" w:rsidP="00382B43">
            <w:pPr>
              <w:jc w:val="right"/>
              <w:rPr>
                <w:rFonts w:ascii="Calibri" w:hAnsi="Calibri" w:cs="Calibri"/>
                <w:lang w:eastAsia="en-GB"/>
              </w:rPr>
            </w:pPr>
            <w:r w:rsidRPr="0081325D">
              <w:rPr>
                <w:rFonts w:ascii="Calibri" w:hAnsi="Calibri" w:cs="Calibri"/>
                <w:color w:val="000000"/>
                <w:lang w:eastAsia="en-GB"/>
              </w:rPr>
              <w:t>(24)</w:t>
            </w:r>
          </w:p>
        </w:tc>
      </w:tr>
      <w:tr w:rsidR="00214E71" w:rsidRPr="0081325D" w14:paraId="5210A723" w14:textId="77777777" w:rsidTr="00382B43">
        <w:trPr>
          <w:trHeight w:val="408"/>
        </w:trPr>
        <w:tc>
          <w:tcPr>
            <w:tcW w:w="2564" w:type="pct"/>
            <w:tcBorders>
              <w:top w:val="nil"/>
              <w:left w:val="nil"/>
              <w:bottom w:val="nil"/>
              <w:right w:val="nil"/>
            </w:tcBorders>
            <w:shd w:val="clear" w:color="auto" w:fill="auto"/>
            <w:noWrap/>
            <w:vAlign w:val="center"/>
          </w:tcPr>
          <w:p w14:paraId="6BE815AC" w14:textId="77777777" w:rsidR="00214E71" w:rsidRPr="0081325D" w:rsidRDefault="00214E71" w:rsidP="00382B43">
            <w:pPr>
              <w:rPr>
                <w:rFonts w:ascii="Calibri" w:hAnsi="Calibri" w:cs="Calibri"/>
                <w:color w:val="000000"/>
                <w:lang w:eastAsia="en-GB"/>
              </w:rPr>
            </w:pPr>
            <w:r w:rsidRPr="0081325D">
              <w:rPr>
                <w:rFonts w:ascii="Calibri" w:hAnsi="Calibri" w:cs="Calibri"/>
                <w:color w:val="000000"/>
                <w:lang w:eastAsia="en-GB"/>
              </w:rPr>
              <w:t>Capital loss on investments</w:t>
            </w:r>
          </w:p>
        </w:tc>
        <w:tc>
          <w:tcPr>
            <w:tcW w:w="518" w:type="pct"/>
            <w:tcBorders>
              <w:top w:val="nil"/>
              <w:left w:val="nil"/>
              <w:bottom w:val="nil"/>
              <w:right w:val="nil"/>
            </w:tcBorders>
            <w:shd w:val="clear" w:color="auto" w:fill="auto"/>
            <w:noWrap/>
            <w:vAlign w:val="center"/>
          </w:tcPr>
          <w:p w14:paraId="41944E36" w14:textId="77777777" w:rsidR="00214E71" w:rsidRPr="0081325D" w:rsidRDefault="00214E71" w:rsidP="00382B43">
            <w:pPr>
              <w:rPr>
                <w:rFonts w:ascii="Calibri" w:hAnsi="Calibri" w:cs="Calibri"/>
                <w:color w:val="000000"/>
                <w:lang w:eastAsia="en-GB"/>
              </w:rPr>
            </w:pPr>
          </w:p>
        </w:tc>
        <w:tc>
          <w:tcPr>
            <w:tcW w:w="959" w:type="pct"/>
            <w:tcBorders>
              <w:top w:val="nil"/>
              <w:left w:val="nil"/>
              <w:bottom w:val="nil"/>
              <w:right w:val="nil"/>
            </w:tcBorders>
            <w:shd w:val="clear" w:color="000000" w:fill="FFFFFF"/>
            <w:noWrap/>
            <w:vAlign w:val="center"/>
          </w:tcPr>
          <w:p w14:paraId="718948A7"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97</w:t>
            </w:r>
          </w:p>
        </w:tc>
        <w:tc>
          <w:tcPr>
            <w:tcW w:w="959" w:type="pct"/>
            <w:tcBorders>
              <w:top w:val="nil"/>
              <w:left w:val="nil"/>
              <w:bottom w:val="nil"/>
              <w:right w:val="nil"/>
            </w:tcBorders>
            <w:shd w:val="clear" w:color="000000" w:fill="FFFFFF"/>
            <w:noWrap/>
            <w:vAlign w:val="center"/>
          </w:tcPr>
          <w:p w14:paraId="3AB5231B" w14:textId="77777777" w:rsidR="00214E71" w:rsidRPr="0081325D" w:rsidRDefault="00214E71" w:rsidP="00382B43">
            <w:pPr>
              <w:jc w:val="right"/>
              <w:rPr>
                <w:rFonts w:ascii="Calibri" w:hAnsi="Calibri" w:cs="Calibri"/>
                <w:color w:val="000000"/>
                <w:lang w:eastAsia="en-GB"/>
              </w:rPr>
            </w:pPr>
            <w:r w:rsidRPr="0081325D">
              <w:rPr>
                <w:rFonts w:ascii="Calibri" w:hAnsi="Calibri" w:cs="Calibri"/>
                <w:color w:val="000000"/>
                <w:lang w:eastAsia="en-GB"/>
              </w:rPr>
              <w:t>-</w:t>
            </w:r>
          </w:p>
        </w:tc>
      </w:tr>
      <w:tr w:rsidR="00214E71" w:rsidRPr="0081325D" w14:paraId="40877996" w14:textId="77777777" w:rsidTr="00382B43">
        <w:trPr>
          <w:trHeight w:val="408"/>
        </w:trPr>
        <w:tc>
          <w:tcPr>
            <w:tcW w:w="2564" w:type="pct"/>
            <w:tcBorders>
              <w:top w:val="nil"/>
              <w:left w:val="nil"/>
              <w:bottom w:val="nil"/>
              <w:right w:val="nil"/>
            </w:tcBorders>
            <w:shd w:val="clear" w:color="auto" w:fill="auto"/>
            <w:noWrap/>
            <w:vAlign w:val="center"/>
            <w:hideMark/>
          </w:tcPr>
          <w:p w14:paraId="63E8CBDE" w14:textId="77777777" w:rsidR="00214E71" w:rsidRPr="0081325D" w:rsidRDefault="00214E71" w:rsidP="00382B43">
            <w:pPr>
              <w:rPr>
                <w:rFonts w:ascii="Calibri" w:hAnsi="Calibri" w:cs="Calibri"/>
                <w:i/>
                <w:iCs/>
                <w:color w:val="000000"/>
                <w:lang w:eastAsia="en-GB"/>
              </w:rPr>
            </w:pPr>
            <w:r w:rsidRPr="0081325D">
              <w:rPr>
                <w:rFonts w:ascii="Calibri" w:hAnsi="Calibri" w:cs="Calibri"/>
                <w:i/>
                <w:iCs/>
                <w:color w:val="000000"/>
                <w:lang w:eastAsia="en-GB"/>
              </w:rPr>
              <w:t>Changes in working capital:</w:t>
            </w:r>
          </w:p>
        </w:tc>
        <w:tc>
          <w:tcPr>
            <w:tcW w:w="518" w:type="pct"/>
            <w:tcBorders>
              <w:top w:val="nil"/>
              <w:left w:val="nil"/>
              <w:bottom w:val="nil"/>
              <w:right w:val="nil"/>
            </w:tcBorders>
            <w:shd w:val="clear" w:color="auto" w:fill="auto"/>
            <w:noWrap/>
            <w:vAlign w:val="center"/>
            <w:hideMark/>
          </w:tcPr>
          <w:p w14:paraId="74E201E6" w14:textId="77777777" w:rsidR="00214E71" w:rsidRPr="0081325D" w:rsidRDefault="00214E71" w:rsidP="00382B43">
            <w:pPr>
              <w:rPr>
                <w:rFonts w:ascii="Calibri" w:hAnsi="Calibri" w:cs="Calibri"/>
                <w:i/>
                <w:iCs/>
                <w:color w:val="000000"/>
                <w:lang w:eastAsia="en-GB"/>
              </w:rPr>
            </w:pPr>
          </w:p>
        </w:tc>
        <w:tc>
          <w:tcPr>
            <w:tcW w:w="959" w:type="pct"/>
            <w:tcBorders>
              <w:top w:val="nil"/>
              <w:left w:val="nil"/>
              <w:bottom w:val="nil"/>
              <w:right w:val="nil"/>
            </w:tcBorders>
            <w:shd w:val="clear" w:color="000000" w:fill="FFFFFF"/>
            <w:noWrap/>
            <w:vAlign w:val="center"/>
            <w:hideMark/>
          </w:tcPr>
          <w:p w14:paraId="1D6FD73B"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c>
          <w:tcPr>
            <w:tcW w:w="959" w:type="pct"/>
            <w:tcBorders>
              <w:top w:val="nil"/>
              <w:left w:val="nil"/>
              <w:bottom w:val="nil"/>
              <w:right w:val="nil"/>
            </w:tcBorders>
            <w:shd w:val="clear" w:color="000000" w:fill="FFFFFF"/>
            <w:noWrap/>
            <w:vAlign w:val="center"/>
            <w:hideMark/>
          </w:tcPr>
          <w:p w14:paraId="66A0C3E1"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r>
      <w:tr w:rsidR="00214E71" w:rsidRPr="0081325D" w14:paraId="66C9C9EE" w14:textId="77777777" w:rsidTr="00382B43">
        <w:trPr>
          <w:trHeight w:val="408"/>
        </w:trPr>
        <w:tc>
          <w:tcPr>
            <w:tcW w:w="2564" w:type="pct"/>
            <w:tcBorders>
              <w:top w:val="nil"/>
              <w:left w:val="nil"/>
              <w:bottom w:val="nil"/>
              <w:right w:val="nil"/>
            </w:tcBorders>
            <w:shd w:val="clear" w:color="auto" w:fill="auto"/>
            <w:noWrap/>
            <w:vAlign w:val="center"/>
            <w:hideMark/>
          </w:tcPr>
          <w:p w14:paraId="28504A15" w14:textId="77777777" w:rsidR="00214E71" w:rsidRPr="0081325D" w:rsidRDefault="00214E71" w:rsidP="00382B43">
            <w:pPr>
              <w:rPr>
                <w:rFonts w:ascii="Calibri" w:hAnsi="Calibri" w:cs="Calibri"/>
                <w:color w:val="000000"/>
                <w:lang w:eastAsia="en-GB"/>
              </w:rPr>
            </w:pPr>
            <w:r w:rsidRPr="0081325D">
              <w:rPr>
                <w:rFonts w:ascii="Calibri" w:hAnsi="Calibri" w:cs="Calibri"/>
                <w:color w:val="000000"/>
                <w:lang w:eastAsia="en-GB"/>
              </w:rPr>
              <w:lastRenderedPageBreak/>
              <w:t>(Increase) / decrease in trade and other receivables</w:t>
            </w:r>
          </w:p>
        </w:tc>
        <w:tc>
          <w:tcPr>
            <w:tcW w:w="518" w:type="pct"/>
            <w:tcBorders>
              <w:top w:val="nil"/>
              <w:left w:val="nil"/>
              <w:bottom w:val="nil"/>
              <w:right w:val="nil"/>
            </w:tcBorders>
            <w:shd w:val="clear" w:color="auto" w:fill="auto"/>
            <w:noWrap/>
            <w:vAlign w:val="center"/>
            <w:hideMark/>
          </w:tcPr>
          <w:p w14:paraId="2B36D242" w14:textId="77777777" w:rsidR="00214E71" w:rsidRPr="0081325D" w:rsidRDefault="00214E71" w:rsidP="00382B43">
            <w:pPr>
              <w:rPr>
                <w:rFonts w:ascii="Calibri" w:hAnsi="Calibri" w:cs="Calibri"/>
                <w:color w:val="000000"/>
                <w:lang w:eastAsia="en-GB"/>
              </w:rPr>
            </w:pPr>
          </w:p>
        </w:tc>
        <w:tc>
          <w:tcPr>
            <w:tcW w:w="959" w:type="pct"/>
            <w:tcBorders>
              <w:top w:val="nil"/>
              <w:left w:val="nil"/>
              <w:bottom w:val="nil"/>
              <w:right w:val="nil"/>
            </w:tcBorders>
            <w:shd w:val="clear" w:color="auto" w:fill="auto"/>
            <w:noWrap/>
            <w:vAlign w:val="center"/>
            <w:hideMark/>
          </w:tcPr>
          <w:p w14:paraId="712D0484" w14:textId="77777777" w:rsidR="00214E71" w:rsidRPr="0081325D" w:rsidRDefault="00214E71" w:rsidP="00382B43">
            <w:pPr>
              <w:jc w:val="right"/>
              <w:rPr>
                <w:rFonts w:ascii="Calibri" w:hAnsi="Calibri" w:cs="Calibri"/>
                <w:lang w:eastAsia="en-GB"/>
              </w:rPr>
            </w:pPr>
            <w:r>
              <w:rPr>
                <w:rFonts w:ascii="Calibri" w:hAnsi="Calibri" w:cs="Calibri"/>
                <w:lang w:eastAsia="en-GB"/>
              </w:rPr>
              <w:t>166</w:t>
            </w:r>
          </w:p>
        </w:tc>
        <w:tc>
          <w:tcPr>
            <w:tcW w:w="959" w:type="pct"/>
            <w:tcBorders>
              <w:top w:val="nil"/>
              <w:left w:val="nil"/>
              <w:bottom w:val="nil"/>
              <w:right w:val="nil"/>
            </w:tcBorders>
            <w:shd w:val="clear" w:color="000000" w:fill="FFFFFF"/>
            <w:noWrap/>
            <w:vAlign w:val="center"/>
            <w:hideMark/>
          </w:tcPr>
          <w:p w14:paraId="67133449" w14:textId="77777777" w:rsidR="00214E71" w:rsidRPr="0081325D" w:rsidRDefault="00214E71" w:rsidP="00382B43">
            <w:pPr>
              <w:jc w:val="right"/>
              <w:rPr>
                <w:rFonts w:ascii="Calibri" w:hAnsi="Calibri" w:cs="Calibri"/>
                <w:lang w:eastAsia="en-GB"/>
              </w:rPr>
            </w:pPr>
            <w:r w:rsidRPr="0081325D">
              <w:rPr>
                <w:rFonts w:ascii="Calibri" w:hAnsi="Calibri" w:cs="Calibri"/>
                <w:color w:val="000000"/>
                <w:lang w:eastAsia="en-GB"/>
              </w:rPr>
              <w:t>(508)</w:t>
            </w:r>
          </w:p>
        </w:tc>
      </w:tr>
      <w:tr w:rsidR="00214E71" w:rsidRPr="0081325D" w14:paraId="13A61DC0" w14:textId="77777777" w:rsidTr="00382B43">
        <w:trPr>
          <w:trHeight w:val="408"/>
        </w:trPr>
        <w:tc>
          <w:tcPr>
            <w:tcW w:w="2564" w:type="pct"/>
            <w:tcBorders>
              <w:top w:val="nil"/>
              <w:left w:val="nil"/>
              <w:bottom w:val="nil"/>
              <w:right w:val="nil"/>
            </w:tcBorders>
            <w:shd w:val="clear" w:color="auto" w:fill="auto"/>
            <w:noWrap/>
            <w:vAlign w:val="center"/>
            <w:hideMark/>
          </w:tcPr>
          <w:p w14:paraId="6654A180" w14:textId="77777777" w:rsidR="00214E71" w:rsidRPr="0081325D" w:rsidRDefault="00214E71" w:rsidP="00382B43">
            <w:pPr>
              <w:rPr>
                <w:rFonts w:ascii="Calibri" w:hAnsi="Calibri" w:cs="Calibri"/>
                <w:color w:val="000000"/>
                <w:lang w:eastAsia="en-GB"/>
              </w:rPr>
            </w:pPr>
            <w:r w:rsidRPr="0081325D">
              <w:rPr>
                <w:rFonts w:ascii="Calibri" w:hAnsi="Calibri" w:cs="Calibri"/>
                <w:color w:val="000000"/>
                <w:lang w:eastAsia="en-GB"/>
              </w:rPr>
              <w:t>Increase / (decrease) in trade and other payables</w:t>
            </w:r>
          </w:p>
        </w:tc>
        <w:tc>
          <w:tcPr>
            <w:tcW w:w="518" w:type="pct"/>
            <w:tcBorders>
              <w:top w:val="nil"/>
              <w:left w:val="nil"/>
              <w:bottom w:val="nil"/>
              <w:right w:val="nil"/>
            </w:tcBorders>
            <w:shd w:val="clear" w:color="auto" w:fill="auto"/>
            <w:noWrap/>
            <w:vAlign w:val="center"/>
            <w:hideMark/>
          </w:tcPr>
          <w:p w14:paraId="57C496DF" w14:textId="77777777" w:rsidR="00214E71" w:rsidRPr="0081325D" w:rsidRDefault="00214E71" w:rsidP="00382B43">
            <w:pPr>
              <w:rPr>
                <w:rFonts w:ascii="Calibri" w:hAnsi="Calibri" w:cs="Calibri"/>
                <w:color w:val="000000"/>
                <w:lang w:eastAsia="en-GB"/>
              </w:rPr>
            </w:pPr>
          </w:p>
        </w:tc>
        <w:tc>
          <w:tcPr>
            <w:tcW w:w="959" w:type="pct"/>
            <w:tcBorders>
              <w:top w:val="nil"/>
              <w:left w:val="nil"/>
              <w:bottom w:val="nil"/>
              <w:right w:val="nil"/>
            </w:tcBorders>
            <w:shd w:val="clear" w:color="auto" w:fill="auto"/>
            <w:noWrap/>
            <w:vAlign w:val="center"/>
            <w:hideMark/>
          </w:tcPr>
          <w:p w14:paraId="2BDCCE04"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(37)</w:t>
            </w:r>
          </w:p>
        </w:tc>
        <w:tc>
          <w:tcPr>
            <w:tcW w:w="959" w:type="pct"/>
            <w:tcBorders>
              <w:top w:val="nil"/>
              <w:left w:val="nil"/>
              <w:bottom w:val="nil"/>
              <w:right w:val="nil"/>
            </w:tcBorders>
            <w:shd w:val="clear" w:color="000000" w:fill="FFFFFF"/>
            <w:noWrap/>
            <w:vAlign w:val="center"/>
            <w:hideMark/>
          </w:tcPr>
          <w:p w14:paraId="50D84399"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147</w:t>
            </w:r>
          </w:p>
        </w:tc>
      </w:tr>
      <w:tr w:rsidR="00214E71" w:rsidRPr="0081325D" w14:paraId="1A4D14D5" w14:textId="77777777" w:rsidTr="00382B43">
        <w:trPr>
          <w:trHeight w:val="408"/>
        </w:trPr>
        <w:tc>
          <w:tcPr>
            <w:tcW w:w="2564" w:type="pct"/>
            <w:tcBorders>
              <w:top w:val="single" w:sz="4" w:space="0" w:color="auto"/>
              <w:left w:val="nil"/>
              <w:bottom w:val="nil"/>
              <w:right w:val="nil"/>
            </w:tcBorders>
            <w:shd w:val="clear" w:color="auto" w:fill="auto"/>
            <w:noWrap/>
            <w:vAlign w:val="center"/>
            <w:hideMark/>
          </w:tcPr>
          <w:p w14:paraId="66D00811" w14:textId="77777777" w:rsidR="00214E71" w:rsidRPr="0081325D" w:rsidRDefault="00214E71" w:rsidP="00382B43">
            <w:pPr>
              <w:rPr>
                <w:rFonts w:ascii="Calibri" w:hAnsi="Calibri" w:cs="Calibri"/>
                <w:b/>
                <w:bCs/>
                <w:color w:val="000000"/>
                <w:lang w:eastAsia="en-GB"/>
              </w:rPr>
            </w:pPr>
            <w:r w:rsidRPr="0081325D">
              <w:rPr>
                <w:rFonts w:ascii="Calibri" w:hAnsi="Calibri" w:cs="Calibri"/>
                <w:b/>
                <w:bCs/>
                <w:color w:val="000000"/>
                <w:lang w:eastAsia="en-GB"/>
              </w:rPr>
              <w:t>Net cash outflow from operating activities</w:t>
            </w:r>
          </w:p>
        </w:tc>
        <w:tc>
          <w:tcPr>
            <w:tcW w:w="518" w:type="pct"/>
            <w:tcBorders>
              <w:top w:val="single" w:sz="4" w:space="0" w:color="auto"/>
              <w:left w:val="nil"/>
              <w:bottom w:val="nil"/>
              <w:right w:val="nil"/>
            </w:tcBorders>
            <w:shd w:val="clear" w:color="auto" w:fill="auto"/>
            <w:noWrap/>
            <w:vAlign w:val="center"/>
            <w:hideMark/>
          </w:tcPr>
          <w:p w14:paraId="55D272A7" w14:textId="77777777" w:rsidR="00214E71" w:rsidRPr="0081325D" w:rsidRDefault="00214E71" w:rsidP="00382B43">
            <w:pPr>
              <w:jc w:val="center"/>
              <w:rPr>
                <w:rFonts w:ascii="Calibri" w:hAnsi="Calibri" w:cs="Calibri"/>
                <w:b/>
                <w:bCs/>
                <w:color w:val="000000"/>
                <w:lang w:eastAsia="en-GB"/>
              </w:rPr>
            </w:pPr>
            <w:r w:rsidRPr="0081325D">
              <w:rPr>
                <w:rFonts w:ascii="Calibri" w:hAnsi="Calibri" w:cs="Calibri"/>
                <w:b/>
                <w:bCs/>
                <w:color w:val="000000"/>
                <w:lang w:eastAsia="en-GB"/>
              </w:rPr>
              <w:t> </w:t>
            </w:r>
          </w:p>
        </w:tc>
        <w:tc>
          <w:tcPr>
            <w:tcW w:w="959" w:type="pct"/>
            <w:tcBorders>
              <w:top w:val="single" w:sz="4" w:space="0" w:color="auto"/>
              <w:left w:val="nil"/>
              <w:bottom w:val="nil"/>
              <w:right w:val="nil"/>
            </w:tcBorders>
            <w:shd w:val="clear" w:color="000000" w:fill="FFFFFF"/>
            <w:noWrap/>
            <w:vAlign w:val="center"/>
            <w:hideMark/>
          </w:tcPr>
          <w:p w14:paraId="058561E3" w14:textId="77777777" w:rsidR="00214E71" w:rsidRPr="0081325D" w:rsidRDefault="00214E71" w:rsidP="00382B43">
            <w:pPr>
              <w:jc w:val="right"/>
              <w:rPr>
                <w:rFonts w:ascii="Calibri" w:hAnsi="Calibri" w:cs="Calibri"/>
                <w:b/>
                <w:bCs/>
                <w:lang w:eastAsia="en-GB"/>
              </w:rPr>
            </w:pPr>
            <w:r w:rsidRPr="0081325D">
              <w:rPr>
                <w:rFonts w:ascii="Calibri" w:hAnsi="Calibri" w:cs="Calibri"/>
                <w:b/>
                <w:bCs/>
                <w:color w:val="000000"/>
                <w:lang w:eastAsia="en-GB"/>
              </w:rPr>
              <w:t>(581)</w:t>
            </w:r>
          </w:p>
        </w:tc>
        <w:tc>
          <w:tcPr>
            <w:tcW w:w="959" w:type="pct"/>
            <w:tcBorders>
              <w:top w:val="single" w:sz="4" w:space="0" w:color="auto"/>
              <w:left w:val="nil"/>
              <w:bottom w:val="nil"/>
              <w:right w:val="nil"/>
            </w:tcBorders>
            <w:shd w:val="clear" w:color="000000" w:fill="FFFFFF"/>
            <w:noWrap/>
            <w:vAlign w:val="center"/>
            <w:hideMark/>
          </w:tcPr>
          <w:p w14:paraId="6909068C" w14:textId="77777777" w:rsidR="00214E71" w:rsidRPr="0081325D" w:rsidRDefault="00214E71" w:rsidP="00382B43">
            <w:pPr>
              <w:jc w:val="right"/>
              <w:rPr>
                <w:rFonts w:ascii="Calibri" w:hAnsi="Calibri" w:cs="Calibri"/>
                <w:b/>
                <w:bCs/>
                <w:lang w:eastAsia="en-GB"/>
              </w:rPr>
            </w:pPr>
            <w:r w:rsidRPr="0081325D">
              <w:rPr>
                <w:rFonts w:ascii="Calibri" w:hAnsi="Calibri" w:cs="Calibri"/>
                <w:b/>
                <w:bCs/>
                <w:color w:val="000000"/>
                <w:lang w:eastAsia="en-GB"/>
              </w:rPr>
              <w:t>(1,018)</w:t>
            </w:r>
          </w:p>
        </w:tc>
      </w:tr>
      <w:tr w:rsidR="00214E71" w:rsidRPr="0081325D" w14:paraId="7DF82813" w14:textId="77777777" w:rsidTr="00382B43">
        <w:trPr>
          <w:trHeight w:val="95"/>
        </w:trPr>
        <w:tc>
          <w:tcPr>
            <w:tcW w:w="2564" w:type="pct"/>
            <w:tcBorders>
              <w:top w:val="single" w:sz="4" w:space="0" w:color="auto"/>
              <w:left w:val="nil"/>
              <w:bottom w:val="nil"/>
              <w:right w:val="nil"/>
            </w:tcBorders>
            <w:shd w:val="clear" w:color="auto" w:fill="auto"/>
            <w:noWrap/>
            <w:vAlign w:val="center"/>
            <w:hideMark/>
          </w:tcPr>
          <w:p w14:paraId="1A24FF68" w14:textId="77777777" w:rsidR="00214E71" w:rsidRPr="0081325D" w:rsidRDefault="00214E71" w:rsidP="00382B43">
            <w:pPr>
              <w:rPr>
                <w:rFonts w:ascii="Calibri" w:hAnsi="Calibri" w:cs="Calibri"/>
                <w:color w:val="000000"/>
                <w:lang w:eastAsia="en-GB"/>
              </w:rPr>
            </w:pPr>
            <w:r w:rsidRPr="0081325D">
              <w:rPr>
                <w:rFonts w:ascii="Calibri" w:hAnsi="Calibri" w:cs="Calibri"/>
                <w:color w:val="000000"/>
                <w:lang w:eastAsia="en-GB"/>
              </w:rPr>
              <w:t> </w:t>
            </w:r>
          </w:p>
        </w:tc>
        <w:tc>
          <w:tcPr>
            <w:tcW w:w="518" w:type="pct"/>
            <w:tcBorders>
              <w:top w:val="single" w:sz="4" w:space="0" w:color="auto"/>
              <w:left w:val="nil"/>
              <w:bottom w:val="nil"/>
              <w:right w:val="nil"/>
            </w:tcBorders>
            <w:shd w:val="clear" w:color="auto" w:fill="auto"/>
            <w:noWrap/>
            <w:vAlign w:val="center"/>
            <w:hideMark/>
          </w:tcPr>
          <w:p w14:paraId="1866EBF6" w14:textId="77777777" w:rsidR="00214E71" w:rsidRPr="0081325D" w:rsidRDefault="00214E71" w:rsidP="00382B43">
            <w:pPr>
              <w:jc w:val="center"/>
              <w:rPr>
                <w:rFonts w:ascii="Calibri" w:hAnsi="Calibri" w:cs="Calibri"/>
                <w:color w:val="000000"/>
                <w:lang w:eastAsia="en-GB"/>
              </w:rPr>
            </w:pPr>
            <w:r w:rsidRPr="0081325D">
              <w:rPr>
                <w:rFonts w:ascii="Calibri" w:hAnsi="Calibri" w:cs="Calibri"/>
                <w:color w:val="000000"/>
                <w:lang w:eastAsia="en-GB"/>
              </w:rPr>
              <w:t> </w:t>
            </w:r>
          </w:p>
        </w:tc>
        <w:tc>
          <w:tcPr>
            <w:tcW w:w="959" w:type="pct"/>
            <w:tcBorders>
              <w:top w:val="single" w:sz="4" w:space="0" w:color="auto"/>
              <w:left w:val="nil"/>
              <w:bottom w:val="nil"/>
              <w:right w:val="nil"/>
            </w:tcBorders>
            <w:shd w:val="clear" w:color="000000" w:fill="FFFFFF"/>
            <w:noWrap/>
            <w:vAlign w:val="center"/>
            <w:hideMark/>
          </w:tcPr>
          <w:p w14:paraId="3F76F22B"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c>
          <w:tcPr>
            <w:tcW w:w="959" w:type="pct"/>
            <w:tcBorders>
              <w:top w:val="single" w:sz="4" w:space="0" w:color="auto"/>
              <w:left w:val="nil"/>
              <w:bottom w:val="nil"/>
              <w:right w:val="nil"/>
            </w:tcBorders>
            <w:shd w:val="clear" w:color="000000" w:fill="FFFFFF"/>
            <w:noWrap/>
            <w:vAlign w:val="center"/>
            <w:hideMark/>
          </w:tcPr>
          <w:p w14:paraId="51351F21"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r>
      <w:tr w:rsidR="00214E71" w:rsidRPr="0081325D" w14:paraId="60E7C2F1" w14:textId="77777777" w:rsidTr="00382B43">
        <w:trPr>
          <w:trHeight w:val="408"/>
        </w:trPr>
        <w:tc>
          <w:tcPr>
            <w:tcW w:w="2564" w:type="pct"/>
            <w:tcBorders>
              <w:top w:val="single" w:sz="4" w:space="0" w:color="auto"/>
              <w:left w:val="nil"/>
              <w:bottom w:val="nil"/>
              <w:right w:val="nil"/>
            </w:tcBorders>
            <w:shd w:val="clear" w:color="auto" w:fill="auto"/>
            <w:noWrap/>
            <w:vAlign w:val="center"/>
            <w:hideMark/>
          </w:tcPr>
          <w:p w14:paraId="3426611B" w14:textId="77777777" w:rsidR="00214E71" w:rsidRPr="0081325D" w:rsidRDefault="00214E71" w:rsidP="00382B43">
            <w:pPr>
              <w:rPr>
                <w:rFonts w:ascii="Calibri" w:hAnsi="Calibri" w:cs="Calibri"/>
                <w:b/>
                <w:bCs/>
                <w:color w:val="000000"/>
                <w:lang w:eastAsia="en-GB"/>
              </w:rPr>
            </w:pPr>
            <w:r w:rsidRPr="0081325D">
              <w:rPr>
                <w:rFonts w:ascii="Calibri" w:hAnsi="Calibri" w:cs="Calibri"/>
                <w:b/>
                <w:bCs/>
                <w:color w:val="000000"/>
                <w:lang w:eastAsia="en-GB"/>
              </w:rPr>
              <w:t>Cash flows from investing activities</w:t>
            </w:r>
          </w:p>
        </w:tc>
        <w:tc>
          <w:tcPr>
            <w:tcW w:w="518" w:type="pct"/>
            <w:tcBorders>
              <w:top w:val="single" w:sz="4" w:space="0" w:color="auto"/>
              <w:left w:val="nil"/>
              <w:bottom w:val="nil"/>
              <w:right w:val="nil"/>
            </w:tcBorders>
            <w:shd w:val="clear" w:color="auto" w:fill="auto"/>
            <w:noWrap/>
            <w:vAlign w:val="center"/>
            <w:hideMark/>
          </w:tcPr>
          <w:p w14:paraId="3F681A8E" w14:textId="77777777" w:rsidR="00214E71" w:rsidRPr="0081325D" w:rsidRDefault="00214E71" w:rsidP="00382B43">
            <w:pPr>
              <w:jc w:val="center"/>
              <w:rPr>
                <w:rFonts w:ascii="Calibri" w:hAnsi="Calibri" w:cs="Calibri"/>
                <w:b/>
                <w:bCs/>
                <w:color w:val="000000"/>
                <w:lang w:eastAsia="en-GB"/>
              </w:rPr>
            </w:pPr>
            <w:r w:rsidRPr="0081325D">
              <w:rPr>
                <w:rFonts w:ascii="Calibri" w:hAnsi="Calibri" w:cs="Calibri"/>
                <w:b/>
                <w:bCs/>
                <w:color w:val="000000"/>
                <w:lang w:eastAsia="en-GB"/>
              </w:rPr>
              <w:t> </w:t>
            </w:r>
          </w:p>
        </w:tc>
        <w:tc>
          <w:tcPr>
            <w:tcW w:w="959" w:type="pct"/>
            <w:tcBorders>
              <w:top w:val="single" w:sz="4" w:space="0" w:color="auto"/>
              <w:left w:val="nil"/>
              <w:bottom w:val="nil"/>
              <w:right w:val="nil"/>
            </w:tcBorders>
            <w:shd w:val="clear" w:color="000000" w:fill="FFFFFF"/>
            <w:noWrap/>
            <w:vAlign w:val="center"/>
            <w:hideMark/>
          </w:tcPr>
          <w:p w14:paraId="17CF99F2"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c>
          <w:tcPr>
            <w:tcW w:w="959" w:type="pct"/>
            <w:tcBorders>
              <w:top w:val="single" w:sz="4" w:space="0" w:color="auto"/>
              <w:left w:val="nil"/>
              <w:bottom w:val="nil"/>
              <w:right w:val="nil"/>
            </w:tcBorders>
            <w:shd w:val="clear" w:color="000000" w:fill="FFFFFF"/>
            <w:noWrap/>
            <w:vAlign w:val="center"/>
            <w:hideMark/>
          </w:tcPr>
          <w:p w14:paraId="1251A305"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r>
      <w:tr w:rsidR="00214E71" w:rsidRPr="0081325D" w14:paraId="0A49ACA9" w14:textId="77777777" w:rsidTr="00382B43">
        <w:trPr>
          <w:trHeight w:val="408"/>
        </w:trPr>
        <w:tc>
          <w:tcPr>
            <w:tcW w:w="2564" w:type="pct"/>
            <w:tcBorders>
              <w:top w:val="nil"/>
              <w:left w:val="nil"/>
              <w:bottom w:val="nil"/>
              <w:right w:val="nil"/>
            </w:tcBorders>
            <w:shd w:val="clear" w:color="auto" w:fill="auto"/>
            <w:noWrap/>
            <w:vAlign w:val="center"/>
            <w:hideMark/>
          </w:tcPr>
          <w:p w14:paraId="362E865F" w14:textId="77777777" w:rsidR="00214E71" w:rsidRPr="0081325D" w:rsidRDefault="00214E71" w:rsidP="00382B43">
            <w:pPr>
              <w:rPr>
                <w:rFonts w:ascii="Calibri" w:hAnsi="Calibri" w:cs="Calibri"/>
                <w:color w:val="000000"/>
                <w:lang w:eastAsia="en-GB"/>
              </w:rPr>
            </w:pPr>
            <w:r w:rsidRPr="0081325D">
              <w:rPr>
                <w:rFonts w:ascii="Calibri" w:hAnsi="Calibri" w:cs="Calibri"/>
                <w:color w:val="000000"/>
                <w:lang w:eastAsia="en-GB"/>
              </w:rPr>
              <w:t>Investments - additions</w:t>
            </w:r>
          </w:p>
        </w:tc>
        <w:tc>
          <w:tcPr>
            <w:tcW w:w="518" w:type="pct"/>
            <w:tcBorders>
              <w:top w:val="nil"/>
              <w:left w:val="nil"/>
              <w:bottom w:val="nil"/>
              <w:right w:val="nil"/>
            </w:tcBorders>
            <w:shd w:val="clear" w:color="auto" w:fill="auto"/>
            <w:noWrap/>
            <w:vAlign w:val="center"/>
            <w:hideMark/>
          </w:tcPr>
          <w:p w14:paraId="31E5B6CA" w14:textId="77777777" w:rsidR="00214E71" w:rsidRPr="0081325D" w:rsidRDefault="00214E71" w:rsidP="00382B43">
            <w:pPr>
              <w:rPr>
                <w:rFonts w:ascii="Calibri" w:hAnsi="Calibri" w:cs="Calibri"/>
                <w:color w:val="000000"/>
                <w:lang w:eastAsia="en-GB"/>
              </w:rPr>
            </w:pPr>
          </w:p>
        </w:tc>
        <w:tc>
          <w:tcPr>
            <w:tcW w:w="959" w:type="pct"/>
            <w:tcBorders>
              <w:top w:val="nil"/>
              <w:left w:val="nil"/>
              <w:bottom w:val="nil"/>
              <w:right w:val="nil"/>
            </w:tcBorders>
            <w:shd w:val="clear" w:color="000000" w:fill="FFFFFF"/>
            <w:noWrap/>
            <w:vAlign w:val="center"/>
            <w:hideMark/>
          </w:tcPr>
          <w:p w14:paraId="54A239C6" w14:textId="77777777" w:rsidR="00214E71" w:rsidRPr="0081325D" w:rsidRDefault="00214E71" w:rsidP="00382B43">
            <w:pPr>
              <w:jc w:val="right"/>
              <w:rPr>
                <w:rFonts w:ascii="Calibri" w:hAnsi="Calibri" w:cs="Calibri"/>
                <w:lang w:eastAsia="en-GB"/>
              </w:rPr>
            </w:pPr>
            <w:r w:rsidRPr="0081325D">
              <w:rPr>
                <w:rFonts w:ascii="Calibri" w:hAnsi="Calibri" w:cs="Calibri"/>
                <w:color w:val="000000"/>
                <w:lang w:eastAsia="en-GB"/>
              </w:rPr>
              <w:t>(650)</w:t>
            </w:r>
          </w:p>
        </w:tc>
        <w:tc>
          <w:tcPr>
            <w:tcW w:w="959" w:type="pct"/>
            <w:tcBorders>
              <w:top w:val="nil"/>
              <w:left w:val="nil"/>
              <w:bottom w:val="nil"/>
              <w:right w:val="nil"/>
            </w:tcBorders>
            <w:shd w:val="clear" w:color="000000" w:fill="FFFFFF"/>
            <w:noWrap/>
            <w:vAlign w:val="center"/>
            <w:hideMark/>
          </w:tcPr>
          <w:p w14:paraId="6E8F4B53" w14:textId="77777777" w:rsidR="00214E71" w:rsidRPr="0081325D" w:rsidRDefault="00214E71" w:rsidP="00382B43">
            <w:pPr>
              <w:jc w:val="right"/>
              <w:rPr>
                <w:rFonts w:ascii="Calibri" w:hAnsi="Calibri" w:cs="Calibri"/>
                <w:lang w:eastAsia="en-GB"/>
              </w:rPr>
            </w:pPr>
            <w:r w:rsidRPr="0081325D">
              <w:rPr>
                <w:rFonts w:ascii="Calibri" w:hAnsi="Calibri" w:cs="Calibri"/>
                <w:color w:val="000000"/>
                <w:lang w:eastAsia="en-GB"/>
              </w:rPr>
              <w:t>(504)</w:t>
            </w:r>
          </w:p>
        </w:tc>
      </w:tr>
      <w:tr w:rsidR="00214E71" w:rsidRPr="0081325D" w14:paraId="23738EFD" w14:textId="77777777" w:rsidTr="00382B43">
        <w:trPr>
          <w:trHeight w:val="408"/>
        </w:trPr>
        <w:tc>
          <w:tcPr>
            <w:tcW w:w="2564" w:type="pct"/>
            <w:tcBorders>
              <w:top w:val="nil"/>
              <w:left w:val="nil"/>
              <w:bottom w:val="nil"/>
              <w:right w:val="nil"/>
            </w:tcBorders>
            <w:shd w:val="clear" w:color="auto" w:fill="auto"/>
            <w:noWrap/>
            <w:vAlign w:val="center"/>
          </w:tcPr>
          <w:p w14:paraId="47718C76" w14:textId="77777777" w:rsidR="00214E71" w:rsidRPr="0081325D" w:rsidRDefault="00214E71" w:rsidP="00382B43">
            <w:pPr>
              <w:rPr>
                <w:rFonts w:ascii="Calibri" w:hAnsi="Calibri" w:cs="Calibri"/>
                <w:color w:val="000000"/>
                <w:lang w:eastAsia="en-GB"/>
              </w:rPr>
            </w:pPr>
            <w:r w:rsidRPr="0081325D">
              <w:rPr>
                <w:rFonts w:ascii="Calibri" w:hAnsi="Calibri" w:cs="Calibri"/>
                <w:color w:val="000000"/>
                <w:lang w:eastAsia="en-GB"/>
              </w:rPr>
              <w:t>Investments – disposals</w:t>
            </w:r>
          </w:p>
        </w:tc>
        <w:tc>
          <w:tcPr>
            <w:tcW w:w="518" w:type="pct"/>
            <w:tcBorders>
              <w:top w:val="nil"/>
              <w:left w:val="nil"/>
              <w:bottom w:val="nil"/>
              <w:right w:val="nil"/>
            </w:tcBorders>
            <w:shd w:val="clear" w:color="auto" w:fill="auto"/>
            <w:noWrap/>
            <w:vAlign w:val="center"/>
          </w:tcPr>
          <w:p w14:paraId="6A266621" w14:textId="77777777" w:rsidR="00214E71" w:rsidRPr="0081325D" w:rsidRDefault="00214E71" w:rsidP="00382B43">
            <w:pPr>
              <w:rPr>
                <w:rFonts w:ascii="Calibri" w:hAnsi="Calibri" w:cs="Calibri"/>
                <w:color w:val="000000"/>
                <w:lang w:eastAsia="en-GB"/>
              </w:rPr>
            </w:pPr>
          </w:p>
        </w:tc>
        <w:tc>
          <w:tcPr>
            <w:tcW w:w="959" w:type="pct"/>
            <w:tcBorders>
              <w:top w:val="nil"/>
              <w:left w:val="nil"/>
              <w:bottom w:val="nil"/>
              <w:right w:val="nil"/>
            </w:tcBorders>
            <w:shd w:val="clear" w:color="000000" w:fill="FFFFFF"/>
            <w:noWrap/>
            <w:vAlign w:val="center"/>
          </w:tcPr>
          <w:p w14:paraId="5E28E2F8" w14:textId="77777777" w:rsidR="00214E71" w:rsidRPr="0081325D" w:rsidRDefault="00214E71" w:rsidP="00382B43">
            <w:pPr>
              <w:jc w:val="right"/>
              <w:rPr>
                <w:rFonts w:ascii="Calibri" w:hAnsi="Calibri" w:cs="Calibri"/>
                <w:color w:val="000000"/>
                <w:lang w:eastAsia="en-GB"/>
              </w:rPr>
            </w:pPr>
            <w:r w:rsidRPr="0081325D">
              <w:rPr>
                <w:rFonts w:ascii="Calibri" w:hAnsi="Calibri" w:cs="Calibri"/>
                <w:color w:val="000000"/>
                <w:lang w:eastAsia="en-GB"/>
              </w:rPr>
              <w:t>142</w:t>
            </w:r>
          </w:p>
        </w:tc>
        <w:tc>
          <w:tcPr>
            <w:tcW w:w="959" w:type="pct"/>
            <w:tcBorders>
              <w:top w:val="nil"/>
              <w:left w:val="nil"/>
              <w:bottom w:val="nil"/>
              <w:right w:val="nil"/>
            </w:tcBorders>
            <w:shd w:val="clear" w:color="000000" w:fill="FFFFFF"/>
            <w:noWrap/>
            <w:vAlign w:val="center"/>
          </w:tcPr>
          <w:p w14:paraId="61981BE8" w14:textId="77777777" w:rsidR="00214E71" w:rsidRPr="0081325D" w:rsidRDefault="00214E71" w:rsidP="00382B43">
            <w:pPr>
              <w:jc w:val="right"/>
              <w:rPr>
                <w:rFonts w:ascii="Calibri" w:hAnsi="Calibri" w:cs="Calibri"/>
                <w:color w:val="000000"/>
                <w:lang w:eastAsia="en-GB"/>
              </w:rPr>
            </w:pPr>
            <w:r w:rsidRPr="0081325D">
              <w:rPr>
                <w:rFonts w:ascii="Calibri" w:hAnsi="Calibri" w:cs="Calibri"/>
                <w:color w:val="000000"/>
                <w:lang w:eastAsia="en-GB"/>
              </w:rPr>
              <w:t>-</w:t>
            </w:r>
          </w:p>
        </w:tc>
      </w:tr>
      <w:tr w:rsidR="00214E71" w:rsidRPr="0081325D" w14:paraId="51FAE07D" w14:textId="77777777" w:rsidTr="00382B43">
        <w:trPr>
          <w:trHeight w:val="408"/>
        </w:trPr>
        <w:tc>
          <w:tcPr>
            <w:tcW w:w="2564" w:type="pct"/>
            <w:tcBorders>
              <w:top w:val="single" w:sz="4" w:space="0" w:color="auto"/>
              <w:left w:val="nil"/>
              <w:bottom w:val="single" w:sz="4" w:space="0" w:color="auto"/>
              <w:right w:val="nil"/>
            </w:tcBorders>
            <w:shd w:val="clear" w:color="auto" w:fill="auto"/>
            <w:noWrap/>
            <w:vAlign w:val="center"/>
            <w:hideMark/>
          </w:tcPr>
          <w:p w14:paraId="2341557B" w14:textId="77777777" w:rsidR="00214E71" w:rsidRPr="0081325D" w:rsidRDefault="00214E71" w:rsidP="00382B43">
            <w:pPr>
              <w:rPr>
                <w:rFonts w:ascii="Calibri" w:hAnsi="Calibri" w:cs="Calibri"/>
                <w:b/>
                <w:bCs/>
                <w:color w:val="000000"/>
                <w:lang w:eastAsia="en-GB"/>
              </w:rPr>
            </w:pPr>
            <w:r w:rsidRPr="0081325D">
              <w:rPr>
                <w:rFonts w:ascii="Calibri" w:hAnsi="Calibri" w:cs="Calibri"/>
                <w:b/>
                <w:bCs/>
                <w:color w:val="000000"/>
                <w:lang w:eastAsia="en-GB"/>
              </w:rPr>
              <w:t>Net cash flow from investing activities</w:t>
            </w:r>
          </w:p>
        </w:tc>
        <w:tc>
          <w:tcPr>
            <w:tcW w:w="518" w:type="pct"/>
            <w:tcBorders>
              <w:top w:val="single" w:sz="4" w:space="0" w:color="auto"/>
              <w:left w:val="nil"/>
              <w:bottom w:val="single" w:sz="4" w:space="0" w:color="auto"/>
              <w:right w:val="nil"/>
            </w:tcBorders>
            <w:shd w:val="clear" w:color="auto" w:fill="auto"/>
            <w:noWrap/>
            <w:vAlign w:val="center"/>
            <w:hideMark/>
          </w:tcPr>
          <w:p w14:paraId="1C7913CC" w14:textId="77777777" w:rsidR="00214E71" w:rsidRPr="0081325D" w:rsidRDefault="00214E71" w:rsidP="00382B43">
            <w:pPr>
              <w:jc w:val="center"/>
              <w:rPr>
                <w:rFonts w:ascii="Calibri" w:hAnsi="Calibri" w:cs="Calibri"/>
                <w:b/>
                <w:bCs/>
                <w:color w:val="000000"/>
                <w:lang w:eastAsia="en-GB"/>
              </w:rPr>
            </w:pPr>
            <w:r w:rsidRPr="0081325D">
              <w:rPr>
                <w:rFonts w:ascii="Calibri" w:hAnsi="Calibri" w:cs="Calibri"/>
                <w:b/>
                <w:bCs/>
                <w:color w:val="000000"/>
                <w:lang w:eastAsia="en-GB"/>
              </w:rPr>
              <w:t> </w:t>
            </w:r>
          </w:p>
        </w:tc>
        <w:tc>
          <w:tcPr>
            <w:tcW w:w="959" w:type="pct"/>
            <w:tcBorders>
              <w:top w:val="single" w:sz="4" w:space="0" w:color="auto"/>
              <w:left w:val="nil"/>
              <w:bottom w:val="single" w:sz="4" w:space="0" w:color="auto"/>
              <w:right w:val="nil"/>
            </w:tcBorders>
            <w:shd w:val="clear" w:color="000000" w:fill="FFFFFF"/>
            <w:noWrap/>
            <w:vAlign w:val="center"/>
            <w:hideMark/>
          </w:tcPr>
          <w:p w14:paraId="6BF930DB" w14:textId="77777777" w:rsidR="00214E71" w:rsidRPr="0081325D" w:rsidRDefault="00214E71" w:rsidP="00382B43">
            <w:pPr>
              <w:jc w:val="right"/>
              <w:rPr>
                <w:rFonts w:ascii="Calibri" w:hAnsi="Calibri" w:cs="Calibri"/>
                <w:b/>
                <w:bCs/>
                <w:lang w:eastAsia="en-GB"/>
              </w:rPr>
            </w:pPr>
            <w:r w:rsidRPr="0081325D">
              <w:rPr>
                <w:rFonts w:ascii="Calibri" w:hAnsi="Calibri" w:cs="Calibri"/>
                <w:b/>
                <w:bCs/>
                <w:color w:val="000000"/>
                <w:lang w:eastAsia="en-GB"/>
              </w:rPr>
              <w:t>(508)</w:t>
            </w:r>
          </w:p>
        </w:tc>
        <w:tc>
          <w:tcPr>
            <w:tcW w:w="959" w:type="pct"/>
            <w:tcBorders>
              <w:top w:val="single" w:sz="4" w:space="0" w:color="auto"/>
              <w:left w:val="nil"/>
              <w:bottom w:val="single" w:sz="4" w:space="0" w:color="auto"/>
              <w:right w:val="nil"/>
            </w:tcBorders>
            <w:shd w:val="clear" w:color="000000" w:fill="FFFFFF"/>
            <w:noWrap/>
            <w:vAlign w:val="center"/>
            <w:hideMark/>
          </w:tcPr>
          <w:p w14:paraId="51D420CB" w14:textId="77777777" w:rsidR="00214E71" w:rsidRPr="0081325D" w:rsidRDefault="00214E71" w:rsidP="00382B43">
            <w:pPr>
              <w:jc w:val="right"/>
              <w:rPr>
                <w:rFonts w:ascii="Calibri" w:hAnsi="Calibri" w:cs="Calibri"/>
                <w:b/>
                <w:bCs/>
                <w:lang w:eastAsia="en-GB"/>
              </w:rPr>
            </w:pPr>
            <w:r w:rsidRPr="0081325D">
              <w:rPr>
                <w:rFonts w:ascii="Calibri" w:hAnsi="Calibri" w:cs="Calibri"/>
                <w:b/>
                <w:bCs/>
                <w:color w:val="000000"/>
                <w:lang w:eastAsia="en-GB"/>
              </w:rPr>
              <w:t>(504)</w:t>
            </w:r>
          </w:p>
        </w:tc>
      </w:tr>
      <w:tr w:rsidR="00214E71" w:rsidRPr="0081325D" w14:paraId="6A06E33B" w14:textId="77777777" w:rsidTr="00382B43">
        <w:trPr>
          <w:trHeight w:val="153"/>
        </w:trPr>
        <w:tc>
          <w:tcPr>
            <w:tcW w:w="2564" w:type="pct"/>
            <w:tcBorders>
              <w:top w:val="nil"/>
              <w:left w:val="nil"/>
              <w:bottom w:val="nil"/>
              <w:right w:val="nil"/>
            </w:tcBorders>
            <w:shd w:val="clear" w:color="auto" w:fill="auto"/>
            <w:noWrap/>
            <w:vAlign w:val="center"/>
            <w:hideMark/>
          </w:tcPr>
          <w:p w14:paraId="208305F6" w14:textId="77777777" w:rsidR="00214E71" w:rsidRPr="0081325D" w:rsidRDefault="00214E71" w:rsidP="00382B43">
            <w:pPr>
              <w:jc w:val="right"/>
              <w:rPr>
                <w:rFonts w:ascii="Calibri" w:hAnsi="Calibri" w:cs="Calibri"/>
                <w:b/>
                <w:bCs/>
                <w:lang w:eastAsia="en-GB"/>
              </w:rPr>
            </w:pPr>
          </w:p>
        </w:tc>
        <w:tc>
          <w:tcPr>
            <w:tcW w:w="518" w:type="pct"/>
            <w:tcBorders>
              <w:top w:val="nil"/>
              <w:left w:val="nil"/>
              <w:bottom w:val="nil"/>
              <w:right w:val="nil"/>
            </w:tcBorders>
            <w:shd w:val="clear" w:color="auto" w:fill="auto"/>
            <w:noWrap/>
            <w:vAlign w:val="center"/>
            <w:hideMark/>
          </w:tcPr>
          <w:p w14:paraId="5D886D15" w14:textId="77777777" w:rsidR="00214E71" w:rsidRPr="0081325D" w:rsidRDefault="00214E71" w:rsidP="00382B43">
            <w:pPr>
              <w:rPr>
                <w:sz w:val="20"/>
                <w:szCs w:val="20"/>
                <w:lang w:eastAsia="en-GB"/>
              </w:rPr>
            </w:pPr>
          </w:p>
        </w:tc>
        <w:tc>
          <w:tcPr>
            <w:tcW w:w="959" w:type="pct"/>
            <w:tcBorders>
              <w:top w:val="nil"/>
              <w:left w:val="nil"/>
              <w:bottom w:val="nil"/>
              <w:right w:val="nil"/>
            </w:tcBorders>
            <w:shd w:val="clear" w:color="000000" w:fill="FFFFFF"/>
            <w:noWrap/>
            <w:vAlign w:val="center"/>
            <w:hideMark/>
          </w:tcPr>
          <w:p w14:paraId="55CD99BE"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c>
          <w:tcPr>
            <w:tcW w:w="959" w:type="pct"/>
            <w:tcBorders>
              <w:top w:val="nil"/>
              <w:left w:val="nil"/>
              <w:bottom w:val="nil"/>
              <w:right w:val="nil"/>
            </w:tcBorders>
            <w:shd w:val="clear" w:color="000000" w:fill="FFFFFF"/>
            <w:noWrap/>
            <w:vAlign w:val="center"/>
            <w:hideMark/>
          </w:tcPr>
          <w:p w14:paraId="4B8FE311"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r>
      <w:tr w:rsidR="00214E71" w:rsidRPr="0081325D" w14:paraId="45E532F1" w14:textId="77777777" w:rsidTr="00382B43">
        <w:trPr>
          <w:trHeight w:val="408"/>
        </w:trPr>
        <w:tc>
          <w:tcPr>
            <w:tcW w:w="2564" w:type="pct"/>
            <w:tcBorders>
              <w:top w:val="single" w:sz="4" w:space="0" w:color="auto"/>
              <w:left w:val="nil"/>
              <w:bottom w:val="nil"/>
              <w:right w:val="nil"/>
            </w:tcBorders>
            <w:shd w:val="clear" w:color="auto" w:fill="auto"/>
            <w:noWrap/>
            <w:vAlign w:val="center"/>
            <w:hideMark/>
          </w:tcPr>
          <w:p w14:paraId="25484965" w14:textId="77777777" w:rsidR="00214E71" w:rsidRPr="0081325D" w:rsidRDefault="00214E71" w:rsidP="00382B43">
            <w:pPr>
              <w:rPr>
                <w:rFonts w:ascii="Calibri" w:hAnsi="Calibri" w:cs="Calibri"/>
                <w:b/>
                <w:bCs/>
                <w:color w:val="000000"/>
                <w:lang w:eastAsia="en-GB"/>
              </w:rPr>
            </w:pPr>
            <w:r w:rsidRPr="0081325D">
              <w:rPr>
                <w:rFonts w:ascii="Calibri" w:hAnsi="Calibri" w:cs="Calibri"/>
                <w:b/>
                <w:bCs/>
                <w:color w:val="000000"/>
                <w:lang w:eastAsia="en-GB"/>
              </w:rPr>
              <w:t>Cash flows from financing activities</w:t>
            </w:r>
          </w:p>
        </w:tc>
        <w:tc>
          <w:tcPr>
            <w:tcW w:w="518" w:type="pct"/>
            <w:tcBorders>
              <w:top w:val="single" w:sz="4" w:space="0" w:color="auto"/>
              <w:left w:val="nil"/>
              <w:bottom w:val="nil"/>
              <w:right w:val="nil"/>
            </w:tcBorders>
            <w:shd w:val="clear" w:color="auto" w:fill="auto"/>
            <w:noWrap/>
            <w:vAlign w:val="center"/>
            <w:hideMark/>
          </w:tcPr>
          <w:p w14:paraId="61345DF0" w14:textId="77777777" w:rsidR="00214E71" w:rsidRPr="0081325D" w:rsidRDefault="00214E71" w:rsidP="00382B43">
            <w:pPr>
              <w:jc w:val="center"/>
              <w:rPr>
                <w:rFonts w:ascii="Calibri" w:hAnsi="Calibri" w:cs="Calibri"/>
                <w:b/>
                <w:bCs/>
                <w:color w:val="000000"/>
                <w:lang w:eastAsia="en-GB"/>
              </w:rPr>
            </w:pPr>
            <w:r w:rsidRPr="0081325D">
              <w:rPr>
                <w:rFonts w:ascii="Calibri" w:hAnsi="Calibri" w:cs="Calibri"/>
                <w:b/>
                <w:bCs/>
                <w:color w:val="000000"/>
                <w:lang w:eastAsia="en-GB"/>
              </w:rPr>
              <w:t> </w:t>
            </w:r>
          </w:p>
        </w:tc>
        <w:tc>
          <w:tcPr>
            <w:tcW w:w="959" w:type="pct"/>
            <w:tcBorders>
              <w:top w:val="single" w:sz="4" w:space="0" w:color="auto"/>
              <w:left w:val="nil"/>
              <w:bottom w:val="nil"/>
              <w:right w:val="nil"/>
            </w:tcBorders>
            <w:shd w:val="clear" w:color="000000" w:fill="FFFFFF"/>
            <w:noWrap/>
            <w:vAlign w:val="center"/>
            <w:hideMark/>
          </w:tcPr>
          <w:p w14:paraId="3104AD82"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c>
          <w:tcPr>
            <w:tcW w:w="959" w:type="pct"/>
            <w:tcBorders>
              <w:top w:val="single" w:sz="4" w:space="0" w:color="auto"/>
              <w:left w:val="nil"/>
              <w:bottom w:val="nil"/>
              <w:right w:val="nil"/>
            </w:tcBorders>
            <w:shd w:val="clear" w:color="000000" w:fill="FFFFFF"/>
            <w:noWrap/>
            <w:vAlign w:val="center"/>
            <w:hideMark/>
          </w:tcPr>
          <w:p w14:paraId="1B812E98"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r>
      <w:tr w:rsidR="00214E71" w:rsidRPr="0081325D" w14:paraId="294498FD" w14:textId="77777777" w:rsidTr="00382B43">
        <w:trPr>
          <w:trHeight w:val="408"/>
        </w:trPr>
        <w:tc>
          <w:tcPr>
            <w:tcW w:w="2564" w:type="pct"/>
            <w:tcBorders>
              <w:top w:val="nil"/>
              <w:left w:val="nil"/>
              <w:bottom w:val="nil"/>
              <w:right w:val="nil"/>
            </w:tcBorders>
            <w:shd w:val="clear" w:color="auto" w:fill="auto"/>
            <w:noWrap/>
            <w:vAlign w:val="center"/>
            <w:hideMark/>
          </w:tcPr>
          <w:p w14:paraId="04E02A76" w14:textId="77777777" w:rsidR="00214E71" w:rsidRPr="0081325D" w:rsidRDefault="00214E71" w:rsidP="00382B43">
            <w:pPr>
              <w:rPr>
                <w:rFonts w:ascii="Calibri" w:hAnsi="Calibri" w:cs="Calibri"/>
                <w:color w:val="000000"/>
                <w:lang w:eastAsia="en-GB"/>
              </w:rPr>
            </w:pPr>
            <w:r w:rsidRPr="0081325D">
              <w:rPr>
                <w:rFonts w:ascii="Calibri" w:hAnsi="Calibri" w:cs="Calibri"/>
                <w:color w:val="000000"/>
                <w:lang w:eastAsia="en-GB"/>
              </w:rPr>
              <w:t>Proceeds from issue of shares</w:t>
            </w:r>
          </w:p>
        </w:tc>
        <w:tc>
          <w:tcPr>
            <w:tcW w:w="518" w:type="pct"/>
            <w:tcBorders>
              <w:top w:val="nil"/>
              <w:left w:val="nil"/>
              <w:bottom w:val="nil"/>
              <w:right w:val="nil"/>
            </w:tcBorders>
            <w:shd w:val="clear" w:color="auto" w:fill="auto"/>
            <w:noWrap/>
            <w:vAlign w:val="center"/>
            <w:hideMark/>
          </w:tcPr>
          <w:p w14:paraId="26C99B5A" w14:textId="77777777" w:rsidR="00214E71" w:rsidRPr="0081325D" w:rsidRDefault="00214E71" w:rsidP="00382B43">
            <w:pPr>
              <w:rPr>
                <w:rFonts w:ascii="Calibri" w:hAnsi="Calibri" w:cs="Calibri"/>
                <w:color w:val="000000"/>
                <w:lang w:eastAsia="en-GB"/>
              </w:rPr>
            </w:pPr>
          </w:p>
        </w:tc>
        <w:tc>
          <w:tcPr>
            <w:tcW w:w="959" w:type="pct"/>
            <w:tcBorders>
              <w:top w:val="nil"/>
              <w:left w:val="nil"/>
              <w:bottom w:val="nil"/>
              <w:right w:val="nil"/>
            </w:tcBorders>
            <w:shd w:val="clear" w:color="000000" w:fill="FFFFFF"/>
            <w:noWrap/>
            <w:vAlign w:val="center"/>
            <w:hideMark/>
          </w:tcPr>
          <w:p w14:paraId="1F59A529"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w:t>
            </w:r>
          </w:p>
        </w:tc>
        <w:tc>
          <w:tcPr>
            <w:tcW w:w="959" w:type="pct"/>
            <w:tcBorders>
              <w:top w:val="nil"/>
              <w:left w:val="nil"/>
              <w:bottom w:val="nil"/>
              <w:right w:val="nil"/>
            </w:tcBorders>
            <w:shd w:val="clear" w:color="000000" w:fill="FFFFFF"/>
            <w:noWrap/>
            <w:vAlign w:val="center"/>
            <w:hideMark/>
          </w:tcPr>
          <w:p w14:paraId="4D21EB16"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3,248</w:t>
            </w:r>
          </w:p>
        </w:tc>
      </w:tr>
      <w:tr w:rsidR="00214E71" w:rsidRPr="0081325D" w14:paraId="549487E6" w14:textId="77777777" w:rsidTr="00382B43">
        <w:trPr>
          <w:trHeight w:val="408"/>
        </w:trPr>
        <w:tc>
          <w:tcPr>
            <w:tcW w:w="2564" w:type="pct"/>
            <w:tcBorders>
              <w:top w:val="nil"/>
              <w:left w:val="nil"/>
              <w:bottom w:val="nil"/>
              <w:right w:val="nil"/>
            </w:tcBorders>
            <w:shd w:val="clear" w:color="auto" w:fill="auto"/>
            <w:noWrap/>
            <w:vAlign w:val="center"/>
            <w:hideMark/>
          </w:tcPr>
          <w:p w14:paraId="47ADEE43" w14:textId="77777777" w:rsidR="00214E71" w:rsidRPr="0081325D" w:rsidRDefault="00214E71" w:rsidP="00382B43">
            <w:pPr>
              <w:rPr>
                <w:rFonts w:ascii="Calibri" w:hAnsi="Calibri" w:cs="Calibri"/>
                <w:color w:val="000000"/>
                <w:lang w:eastAsia="en-GB"/>
              </w:rPr>
            </w:pPr>
            <w:r w:rsidRPr="0081325D">
              <w:rPr>
                <w:rFonts w:ascii="Calibri" w:hAnsi="Calibri" w:cs="Calibri"/>
                <w:color w:val="000000"/>
                <w:lang w:eastAsia="en-GB"/>
              </w:rPr>
              <w:t>Share issue costs</w:t>
            </w:r>
          </w:p>
        </w:tc>
        <w:tc>
          <w:tcPr>
            <w:tcW w:w="518" w:type="pct"/>
            <w:tcBorders>
              <w:top w:val="nil"/>
              <w:left w:val="nil"/>
              <w:bottom w:val="nil"/>
              <w:right w:val="nil"/>
            </w:tcBorders>
            <w:shd w:val="clear" w:color="auto" w:fill="auto"/>
            <w:noWrap/>
            <w:vAlign w:val="center"/>
            <w:hideMark/>
          </w:tcPr>
          <w:p w14:paraId="769A5DB3" w14:textId="77777777" w:rsidR="00214E71" w:rsidRPr="0081325D" w:rsidRDefault="00214E71" w:rsidP="00382B43">
            <w:pPr>
              <w:rPr>
                <w:rFonts w:ascii="Calibri" w:hAnsi="Calibri" w:cs="Calibri"/>
                <w:color w:val="000000"/>
                <w:lang w:eastAsia="en-GB"/>
              </w:rPr>
            </w:pPr>
          </w:p>
        </w:tc>
        <w:tc>
          <w:tcPr>
            <w:tcW w:w="959" w:type="pct"/>
            <w:tcBorders>
              <w:top w:val="nil"/>
              <w:left w:val="nil"/>
              <w:bottom w:val="nil"/>
              <w:right w:val="nil"/>
            </w:tcBorders>
            <w:shd w:val="clear" w:color="auto" w:fill="auto"/>
            <w:noWrap/>
            <w:vAlign w:val="center"/>
            <w:hideMark/>
          </w:tcPr>
          <w:p w14:paraId="1B09824F" w14:textId="77777777" w:rsidR="00214E71" w:rsidRPr="0081325D" w:rsidRDefault="00214E71" w:rsidP="00382B43">
            <w:pPr>
              <w:jc w:val="right"/>
              <w:rPr>
                <w:rFonts w:ascii="Calibri" w:hAnsi="Calibri" w:cs="Calibri"/>
                <w:lang w:eastAsia="en-GB"/>
              </w:rPr>
            </w:pPr>
            <w:r w:rsidRPr="0081325D">
              <w:rPr>
                <w:rFonts w:ascii="Calibri" w:hAnsi="Calibri" w:cs="Calibri"/>
                <w:color w:val="000000"/>
                <w:lang w:eastAsia="en-GB"/>
              </w:rPr>
              <w:t>-</w:t>
            </w:r>
          </w:p>
        </w:tc>
        <w:tc>
          <w:tcPr>
            <w:tcW w:w="959" w:type="pct"/>
            <w:tcBorders>
              <w:top w:val="nil"/>
              <w:left w:val="nil"/>
              <w:bottom w:val="nil"/>
              <w:right w:val="nil"/>
            </w:tcBorders>
            <w:shd w:val="clear" w:color="000000" w:fill="FFFFFF"/>
            <w:noWrap/>
            <w:vAlign w:val="center"/>
            <w:hideMark/>
          </w:tcPr>
          <w:p w14:paraId="56D8C1ED" w14:textId="77777777" w:rsidR="00214E71" w:rsidRPr="0081325D" w:rsidRDefault="00214E71" w:rsidP="00382B43">
            <w:pPr>
              <w:jc w:val="right"/>
              <w:rPr>
                <w:rFonts w:ascii="Calibri" w:hAnsi="Calibri" w:cs="Calibri"/>
                <w:lang w:eastAsia="en-GB"/>
              </w:rPr>
            </w:pPr>
            <w:r w:rsidRPr="0081325D">
              <w:rPr>
                <w:rFonts w:ascii="Calibri" w:hAnsi="Calibri" w:cs="Calibri"/>
                <w:color w:val="000000"/>
                <w:lang w:eastAsia="en-GB"/>
              </w:rPr>
              <w:t>(202)</w:t>
            </w:r>
          </w:p>
        </w:tc>
      </w:tr>
      <w:tr w:rsidR="00214E71" w:rsidRPr="0081325D" w14:paraId="21553C02" w14:textId="77777777" w:rsidTr="00382B43">
        <w:trPr>
          <w:trHeight w:val="408"/>
        </w:trPr>
        <w:tc>
          <w:tcPr>
            <w:tcW w:w="2564" w:type="pct"/>
            <w:tcBorders>
              <w:top w:val="single" w:sz="4" w:space="0" w:color="auto"/>
              <w:left w:val="nil"/>
              <w:bottom w:val="single" w:sz="4" w:space="0" w:color="auto"/>
              <w:right w:val="nil"/>
            </w:tcBorders>
            <w:shd w:val="clear" w:color="auto" w:fill="auto"/>
            <w:noWrap/>
            <w:vAlign w:val="center"/>
            <w:hideMark/>
          </w:tcPr>
          <w:p w14:paraId="612E647C" w14:textId="77777777" w:rsidR="00214E71" w:rsidRPr="0081325D" w:rsidRDefault="00214E71" w:rsidP="00382B43">
            <w:pPr>
              <w:rPr>
                <w:rFonts w:ascii="Calibri" w:hAnsi="Calibri" w:cs="Calibri"/>
                <w:b/>
                <w:bCs/>
                <w:color w:val="000000"/>
                <w:lang w:eastAsia="en-GB"/>
              </w:rPr>
            </w:pPr>
            <w:r w:rsidRPr="0081325D">
              <w:rPr>
                <w:rFonts w:ascii="Calibri" w:hAnsi="Calibri" w:cs="Calibri"/>
                <w:b/>
                <w:bCs/>
                <w:color w:val="000000"/>
                <w:lang w:eastAsia="en-GB"/>
              </w:rPr>
              <w:t>Net cash flow from financing activities</w:t>
            </w:r>
          </w:p>
        </w:tc>
        <w:tc>
          <w:tcPr>
            <w:tcW w:w="518" w:type="pct"/>
            <w:tcBorders>
              <w:top w:val="single" w:sz="4" w:space="0" w:color="auto"/>
              <w:left w:val="nil"/>
              <w:bottom w:val="single" w:sz="4" w:space="0" w:color="auto"/>
              <w:right w:val="nil"/>
            </w:tcBorders>
            <w:shd w:val="clear" w:color="auto" w:fill="auto"/>
            <w:noWrap/>
            <w:vAlign w:val="center"/>
            <w:hideMark/>
          </w:tcPr>
          <w:p w14:paraId="4BD1D265" w14:textId="77777777" w:rsidR="00214E71" w:rsidRPr="0081325D" w:rsidRDefault="00214E71" w:rsidP="00382B43">
            <w:pPr>
              <w:jc w:val="center"/>
              <w:rPr>
                <w:rFonts w:ascii="Calibri" w:hAnsi="Calibri" w:cs="Calibri"/>
                <w:b/>
                <w:bCs/>
                <w:color w:val="000000"/>
                <w:lang w:eastAsia="en-GB"/>
              </w:rPr>
            </w:pPr>
            <w:r w:rsidRPr="0081325D">
              <w:rPr>
                <w:rFonts w:ascii="Calibri" w:hAnsi="Calibri" w:cs="Calibri"/>
                <w:b/>
                <w:bCs/>
                <w:color w:val="000000"/>
                <w:lang w:eastAsia="en-GB"/>
              </w:rPr>
              <w:t> </w:t>
            </w:r>
          </w:p>
        </w:tc>
        <w:tc>
          <w:tcPr>
            <w:tcW w:w="959" w:type="pct"/>
            <w:tcBorders>
              <w:top w:val="single" w:sz="4" w:space="0" w:color="auto"/>
              <w:left w:val="nil"/>
              <w:bottom w:val="single" w:sz="4" w:space="0" w:color="auto"/>
              <w:right w:val="nil"/>
            </w:tcBorders>
            <w:shd w:val="clear" w:color="000000" w:fill="FFFFFF"/>
            <w:noWrap/>
            <w:vAlign w:val="center"/>
            <w:hideMark/>
          </w:tcPr>
          <w:p w14:paraId="4B81555E" w14:textId="77777777" w:rsidR="00214E71" w:rsidRPr="0081325D" w:rsidRDefault="00214E71" w:rsidP="00382B43">
            <w:pPr>
              <w:jc w:val="right"/>
              <w:rPr>
                <w:rFonts w:ascii="Calibri" w:hAnsi="Calibri" w:cs="Calibri"/>
                <w:b/>
                <w:bCs/>
                <w:lang w:eastAsia="en-GB"/>
              </w:rPr>
            </w:pPr>
            <w:r w:rsidRPr="0081325D">
              <w:rPr>
                <w:rFonts w:ascii="Calibri" w:hAnsi="Calibri" w:cs="Calibri"/>
                <w:b/>
                <w:bCs/>
                <w:lang w:eastAsia="en-GB"/>
              </w:rPr>
              <w:t>-</w:t>
            </w:r>
          </w:p>
        </w:tc>
        <w:tc>
          <w:tcPr>
            <w:tcW w:w="959" w:type="pct"/>
            <w:tcBorders>
              <w:top w:val="single" w:sz="4" w:space="0" w:color="auto"/>
              <w:left w:val="nil"/>
              <w:bottom w:val="single" w:sz="4" w:space="0" w:color="auto"/>
              <w:right w:val="nil"/>
            </w:tcBorders>
            <w:shd w:val="clear" w:color="000000" w:fill="FFFFFF"/>
            <w:noWrap/>
            <w:vAlign w:val="center"/>
            <w:hideMark/>
          </w:tcPr>
          <w:p w14:paraId="3BB4C779" w14:textId="77777777" w:rsidR="00214E71" w:rsidRPr="0081325D" w:rsidRDefault="00214E71" w:rsidP="00382B43">
            <w:pPr>
              <w:jc w:val="right"/>
              <w:rPr>
                <w:rFonts w:ascii="Calibri" w:hAnsi="Calibri" w:cs="Calibri"/>
                <w:b/>
                <w:bCs/>
                <w:lang w:eastAsia="en-GB"/>
              </w:rPr>
            </w:pPr>
            <w:r w:rsidRPr="0081325D">
              <w:rPr>
                <w:rFonts w:ascii="Calibri" w:hAnsi="Calibri" w:cs="Calibri"/>
                <w:b/>
                <w:bCs/>
                <w:lang w:eastAsia="en-GB"/>
              </w:rPr>
              <w:t>3,046</w:t>
            </w:r>
          </w:p>
        </w:tc>
      </w:tr>
      <w:tr w:rsidR="00214E71" w:rsidRPr="0081325D" w14:paraId="0A6EAD57" w14:textId="77777777" w:rsidTr="00382B43">
        <w:trPr>
          <w:trHeight w:val="197"/>
        </w:trPr>
        <w:tc>
          <w:tcPr>
            <w:tcW w:w="2564" w:type="pct"/>
            <w:tcBorders>
              <w:top w:val="nil"/>
              <w:left w:val="nil"/>
              <w:bottom w:val="nil"/>
              <w:right w:val="nil"/>
            </w:tcBorders>
            <w:shd w:val="clear" w:color="auto" w:fill="auto"/>
            <w:noWrap/>
            <w:vAlign w:val="center"/>
            <w:hideMark/>
          </w:tcPr>
          <w:p w14:paraId="5DEBE467" w14:textId="77777777" w:rsidR="00214E71" w:rsidRPr="0081325D" w:rsidRDefault="00214E71" w:rsidP="00382B43">
            <w:pPr>
              <w:jc w:val="right"/>
              <w:rPr>
                <w:rFonts w:ascii="Calibri" w:hAnsi="Calibri" w:cs="Calibri"/>
                <w:b/>
                <w:bCs/>
                <w:lang w:eastAsia="en-GB"/>
              </w:rPr>
            </w:pPr>
          </w:p>
        </w:tc>
        <w:tc>
          <w:tcPr>
            <w:tcW w:w="518" w:type="pct"/>
            <w:tcBorders>
              <w:top w:val="nil"/>
              <w:left w:val="nil"/>
              <w:bottom w:val="nil"/>
              <w:right w:val="nil"/>
            </w:tcBorders>
            <w:shd w:val="clear" w:color="auto" w:fill="auto"/>
            <w:noWrap/>
            <w:vAlign w:val="center"/>
            <w:hideMark/>
          </w:tcPr>
          <w:p w14:paraId="3DA62ECA" w14:textId="77777777" w:rsidR="00214E71" w:rsidRPr="0081325D" w:rsidRDefault="00214E71" w:rsidP="00382B43">
            <w:pPr>
              <w:rPr>
                <w:sz w:val="20"/>
                <w:szCs w:val="20"/>
                <w:lang w:eastAsia="en-GB"/>
              </w:rPr>
            </w:pPr>
          </w:p>
        </w:tc>
        <w:tc>
          <w:tcPr>
            <w:tcW w:w="959" w:type="pct"/>
            <w:tcBorders>
              <w:top w:val="nil"/>
              <w:left w:val="nil"/>
              <w:bottom w:val="nil"/>
              <w:right w:val="nil"/>
            </w:tcBorders>
            <w:shd w:val="clear" w:color="000000" w:fill="FFFFFF"/>
            <w:noWrap/>
            <w:vAlign w:val="center"/>
            <w:hideMark/>
          </w:tcPr>
          <w:p w14:paraId="2B5DE063"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c>
          <w:tcPr>
            <w:tcW w:w="959" w:type="pct"/>
            <w:tcBorders>
              <w:top w:val="nil"/>
              <w:left w:val="nil"/>
              <w:bottom w:val="nil"/>
              <w:right w:val="nil"/>
            </w:tcBorders>
            <w:shd w:val="clear" w:color="000000" w:fill="FFFFFF"/>
            <w:noWrap/>
            <w:vAlign w:val="center"/>
            <w:hideMark/>
          </w:tcPr>
          <w:p w14:paraId="4B760A1C"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 </w:t>
            </w:r>
          </w:p>
        </w:tc>
      </w:tr>
      <w:tr w:rsidR="00214E71" w:rsidRPr="0081325D" w14:paraId="4B0EE7C6" w14:textId="77777777" w:rsidTr="00382B43">
        <w:trPr>
          <w:trHeight w:val="369"/>
        </w:trPr>
        <w:tc>
          <w:tcPr>
            <w:tcW w:w="2564" w:type="pct"/>
            <w:tcBorders>
              <w:top w:val="single" w:sz="4" w:space="0" w:color="auto"/>
              <w:left w:val="nil"/>
              <w:bottom w:val="nil"/>
              <w:right w:val="nil"/>
            </w:tcBorders>
            <w:shd w:val="clear" w:color="auto" w:fill="auto"/>
            <w:noWrap/>
            <w:vAlign w:val="center"/>
            <w:hideMark/>
          </w:tcPr>
          <w:p w14:paraId="52FC9BED" w14:textId="77777777" w:rsidR="00214E71" w:rsidRPr="0081325D" w:rsidRDefault="00214E71" w:rsidP="00382B43">
            <w:pPr>
              <w:rPr>
                <w:rFonts w:ascii="Calibri" w:hAnsi="Calibri" w:cs="Calibri"/>
                <w:b/>
                <w:bCs/>
                <w:color w:val="000000"/>
                <w:lang w:eastAsia="en-GB"/>
              </w:rPr>
            </w:pPr>
            <w:r w:rsidRPr="0081325D">
              <w:rPr>
                <w:rFonts w:ascii="Calibri" w:hAnsi="Calibri" w:cs="Calibri"/>
                <w:b/>
                <w:bCs/>
                <w:color w:val="000000"/>
                <w:lang w:eastAsia="en-GB"/>
              </w:rPr>
              <w:t>Net increase in cash and cash equivalents</w:t>
            </w:r>
          </w:p>
        </w:tc>
        <w:tc>
          <w:tcPr>
            <w:tcW w:w="518" w:type="pct"/>
            <w:tcBorders>
              <w:top w:val="single" w:sz="4" w:space="0" w:color="auto"/>
              <w:left w:val="nil"/>
              <w:bottom w:val="nil"/>
              <w:right w:val="nil"/>
            </w:tcBorders>
            <w:shd w:val="clear" w:color="auto" w:fill="auto"/>
            <w:noWrap/>
            <w:vAlign w:val="center"/>
            <w:hideMark/>
          </w:tcPr>
          <w:p w14:paraId="3FF6AB37" w14:textId="77777777" w:rsidR="00214E71" w:rsidRPr="0081325D" w:rsidRDefault="00214E71" w:rsidP="00382B43">
            <w:pPr>
              <w:jc w:val="center"/>
              <w:rPr>
                <w:rFonts w:ascii="Calibri" w:hAnsi="Calibri" w:cs="Calibri"/>
                <w:b/>
                <w:bCs/>
                <w:color w:val="000000"/>
                <w:lang w:eastAsia="en-GB"/>
              </w:rPr>
            </w:pPr>
            <w:r w:rsidRPr="0081325D">
              <w:rPr>
                <w:rFonts w:ascii="Calibri" w:hAnsi="Calibri" w:cs="Calibri"/>
                <w:b/>
                <w:bCs/>
                <w:color w:val="000000"/>
                <w:lang w:eastAsia="en-GB"/>
              </w:rPr>
              <w:t> </w:t>
            </w:r>
          </w:p>
        </w:tc>
        <w:tc>
          <w:tcPr>
            <w:tcW w:w="959" w:type="pct"/>
            <w:tcBorders>
              <w:top w:val="single" w:sz="4" w:space="0" w:color="auto"/>
              <w:left w:val="nil"/>
              <w:bottom w:val="nil"/>
              <w:right w:val="nil"/>
            </w:tcBorders>
            <w:shd w:val="clear" w:color="000000" w:fill="FFFFFF"/>
            <w:noWrap/>
            <w:vAlign w:val="center"/>
            <w:hideMark/>
          </w:tcPr>
          <w:p w14:paraId="751327D5" w14:textId="77777777" w:rsidR="00214E71" w:rsidRPr="0081325D" w:rsidRDefault="00214E71" w:rsidP="00382B43">
            <w:pPr>
              <w:jc w:val="right"/>
              <w:rPr>
                <w:rFonts w:ascii="Calibri" w:hAnsi="Calibri" w:cs="Calibri"/>
                <w:b/>
                <w:bCs/>
                <w:lang w:eastAsia="en-GB"/>
              </w:rPr>
            </w:pPr>
            <w:r w:rsidRPr="0081325D">
              <w:rPr>
                <w:rFonts w:ascii="Calibri" w:hAnsi="Calibri" w:cs="Calibri"/>
                <w:b/>
                <w:bCs/>
                <w:color w:val="000000"/>
                <w:lang w:eastAsia="en-GB"/>
              </w:rPr>
              <w:t>(1,089)</w:t>
            </w:r>
          </w:p>
        </w:tc>
        <w:tc>
          <w:tcPr>
            <w:tcW w:w="959" w:type="pct"/>
            <w:tcBorders>
              <w:top w:val="single" w:sz="4" w:space="0" w:color="auto"/>
              <w:left w:val="nil"/>
              <w:bottom w:val="nil"/>
              <w:right w:val="nil"/>
            </w:tcBorders>
            <w:shd w:val="clear" w:color="000000" w:fill="FFFFFF"/>
            <w:noWrap/>
            <w:vAlign w:val="center"/>
            <w:hideMark/>
          </w:tcPr>
          <w:p w14:paraId="7AEC01D3" w14:textId="77777777" w:rsidR="00214E71" w:rsidRPr="0081325D" w:rsidRDefault="00214E71" w:rsidP="00382B43">
            <w:pPr>
              <w:jc w:val="right"/>
              <w:rPr>
                <w:rFonts w:ascii="Calibri" w:hAnsi="Calibri" w:cs="Calibri"/>
                <w:b/>
                <w:bCs/>
                <w:lang w:eastAsia="en-GB"/>
              </w:rPr>
            </w:pPr>
            <w:r w:rsidRPr="0081325D">
              <w:rPr>
                <w:rFonts w:ascii="Calibri" w:hAnsi="Calibri" w:cs="Calibri"/>
                <w:b/>
                <w:bCs/>
                <w:lang w:eastAsia="en-GB"/>
              </w:rPr>
              <w:t>1,524</w:t>
            </w:r>
          </w:p>
        </w:tc>
      </w:tr>
      <w:tr w:rsidR="00214E71" w:rsidRPr="0081325D" w14:paraId="609CBF31" w14:textId="77777777" w:rsidTr="00382B43">
        <w:trPr>
          <w:trHeight w:val="544"/>
        </w:trPr>
        <w:tc>
          <w:tcPr>
            <w:tcW w:w="2564" w:type="pct"/>
            <w:tcBorders>
              <w:top w:val="nil"/>
              <w:left w:val="nil"/>
              <w:bottom w:val="nil"/>
              <w:right w:val="nil"/>
            </w:tcBorders>
            <w:shd w:val="clear" w:color="auto" w:fill="auto"/>
            <w:noWrap/>
            <w:vAlign w:val="center"/>
            <w:hideMark/>
          </w:tcPr>
          <w:p w14:paraId="15DE74F8" w14:textId="77777777" w:rsidR="00214E71" w:rsidRPr="0081325D" w:rsidRDefault="00214E71" w:rsidP="00382B43">
            <w:pPr>
              <w:rPr>
                <w:rFonts w:ascii="Calibri" w:hAnsi="Calibri" w:cs="Calibri"/>
                <w:color w:val="000000"/>
                <w:lang w:eastAsia="en-GB"/>
              </w:rPr>
            </w:pPr>
            <w:r w:rsidRPr="0081325D">
              <w:rPr>
                <w:rFonts w:ascii="Calibri" w:hAnsi="Calibri" w:cs="Calibri"/>
                <w:color w:val="000000"/>
                <w:lang w:eastAsia="en-GB"/>
              </w:rPr>
              <w:t>Cash and cash equivalents at beginning of the period</w:t>
            </w:r>
          </w:p>
        </w:tc>
        <w:tc>
          <w:tcPr>
            <w:tcW w:w="518" w:type="pct"/>
            <w:tcBorders>
              <w:top w:val="nil"/>
              <w:left w:val="nil"/>
              <w:bottom w:val="nil"/>
              <w:right w:val="nil"/>
            </w:tcBorders>
            <w:shd w:val="clear" w:color="auto" w:fill="auto"/>
            <w:noWrap/>
            <w:vAlign w:val="center"/>
            <w:hideMark/>
          </w:tcPr>
          <w:p w14:paraId="123A0000" w14:textId="77777777" w:rsidR="00214E71" w:rsidRPr="0081325D" w:rsidRDefault="00214E71" w:rsidP="00382B43">
            <w:pPr>
              <w:rPr>
                <w:rFonts w:ascii="Calibri" w:hAnsi="Calibri" w:cs="Calibri"/>
                <w:color w:val="000000"/>
                <w:lang w:eastAsia="en-GB"/>
              </w:rPr>
            </w:pPr>
          </w:p>
        </w:tc>
        <w:tc>
          <w:tcPr>
            <w:tcW w:w="959" w:type="pct"/>
            <w:tcBorders>
              <w:top w:val="nil"/>
              <w:left w:val="nil"/>
              <w:bottom w:val="nil"/>
              <w:right w:val="nil"/>
            </w:tcBorders>
            <w:shd w:val="clear" w:color="000000" w:fill="FFFFFF"/>
            <w:noWrap/>
            <w:vAlign w:val="center"/>
            <w:hideMark/>
          </w:tcPr>
          <w:p w14:paraId="561EB26D"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1,524</w:t>
            </w:r>
          </w:p>
        </w:tc>
        <w:tc>
          <w:tcPr>
            <w:tcW w:w="959" w:type="pct"/>
            <w:tcBorders>
              <w:top w:val="nil"/>
              <w:left w:val="nil"/>
              <w:bottom w:val="nil"/>
              <w:right w:val="nil"/>
            </w:tcBorders>
            <w:shd w:val="clear" w:color="000000" w:fill="FFFFFF"/>
            <w:noWrap/>
            <w:vAlign w:val="center"/>
            <w:hideMark/>
          </w:tcPr>
          <w:p w14:paraId="72AFE2CD" w14:textId="77777777" w:rsidR="00214E71" w:rsidRPr="0081325D" w:rsidRDefault="00214E71" w:rsidP="00382B43">
            <w:pPr>
              <w:jc w:val="right"/>
              <w:rPr>
                <w:rFonts w:ascii="Calibri" w:hAnsi="Calibri" w:cs="Calibri"/>
                <w:lang w:eastAsia="en-GB"/>
              </w:rPr>
            </w:pPr>
            <w:r w:rsidRPr="0081325D">
              <w:rPr>
                <w:rFonts w:ascii="Calibri" w:hAnsi="Calibri" w:cs="Calibri"/>
                <w:lang w:eastAsia="en-GB"/>
              </w:rPr>
              <w:t>-</w:t>
            </w:r>
          </w:p>
        </w:tc>
      </w:tr>
      <w:tr w:rsidR="00214E71" w:rsidRPr="0081325D" w14:paraId="7329C2A3" w14:textId="77777777" w:rsidTr="00382B43">
        <w:trPr>
          <w:trHeight w:val="544"/>
        </w:trPr>
        <w:tc>
          <w:tcPr>
            <w:tcW w:w="2564" w:type="pct"/>
            <w:tcBorders>
              <w:top w:val="single" w:sz="4" w:space="0" w:color="auto"/>
              <w:left w:val="nil"/>
              <w:bottom w:val="single" w:sz="4" w:space="0" w:color="auto"/>
              <w:right w:val="nil"/>
            </w:tcBorders>
            <w:shd w:val="clear" w:color="auto" w:fill="auto"/>
            <w:noWrap/>
            <w:vAlign w:val="center"/>
            <w:hideMark/>
          </w:tcPr>
          <w:p w14:paraId="785FAA37" w14:textId="77777777" w:rsidR="00214E71" w:rsidRPr="0081325D" w:rsidRDefault="00214E71" w:rsidP="00382B43">
            <w:pPr>
              <w:rPr>
                <w:rFonts w:ascii="Calibri" w:hAnsi="Calibri" w:cs="Calibri"/>
                <w:b/>
                <w:bCs/>
                <w:color w:val="000000"/>
                <w:lang w:eastAsia="en-GB"/>
              </w:rPr>
            </w:pPr>
            <w:r w:rsidRPr="0081325D">
              <w:rPr>
                <w:rFonts w:ascii="Calibri" w:hAnsi="Calibri" w:cs="Calibri"/>
                <w:b/>
                <w:bCs/>
                <w:color w:val="000000"/>
                <w:lang w:eastAsia="en-GB"/>
              </w:rPr>
              <w:t>Cash and cash equivalents at end of the period</w:t>
            </w:r>
          </w:p>
        </w:tc>
        <w:tc>
          <w:tcPr>
            <w:tcW w:w="518" w:type="pct"/>
            <w:tcBorders>
              <w:top w:val="single" w:sz="4" w:space="0" w:color="auto"/>
              <w:left w:val="nil"/>
              <w:bottom w:val="single" w:sz="4" w:space="0" w:color="auto"/>
              <w:right w:val="nil"/>
            </w:tcBorders>
            <w:shd w:val="clear" w:color="auto" w:fill="auto"/>
            <w:noWrap/>
            <w:vAlign w:val="center"/>
            <w:hideMark/>
          </w:tcPr>
          <w:p w14:paraId="09120402" w14:textId="075E54C3" w:rsidR="00214E71" w:rsidRPr="0081325D" w:rsidRDefault="00214E71" w:rsidP="00382B43">
            <w:pPr>
              <w:jc w:val="center"/>
              <w:rPr>
                <w:rFonts w:ascii="Calibri" w:hAnsi="Calibri" w:cs="Calibri"/>
                <w:b/>
                <w:bCs/>
                <w:color w:val="000000"/>
                <w:lang w:eastAsia="en-GB"/>
              </w:rPr>
            </w:pPr>
          </w:p>
        </w:tc>
        <w:tc>
          <w:tcPr>
            <w:tcW w:w="959" w:type="pct"/>
            <w:tcBorders>
              <w:top w:val="single" w:sz="4" w:space="0" w:color="auto"/>
              <w:left w:val="nil"/>
              <w:bottom w:val="single" w:sz="4" w:space="0" w:color="auto"/>
              <w:right w:val="nil"/>
            </w:tcBorders>
            <w:shd w:val="clear" w:color="000000" w:fill="FFFFFF"/>
            <w:noWrap/>
            <w:vAlign w:val="center"/>
            <w:hideMark/>
          </w:tcPr>
          <w:p w14:paraId="1330764E" w14:textId="77777777" w:rsidR="00214E71" w:rsidRPr="0081325D" w:rsidRDefault="00214E71" w:rsidP="00382B43">
            <w:pPr>
              <w:jc w:val="right"/>
              <w:rPr>
                <w:rFonts w:ascii="Calibri" w:hAnsi="Calibri" w:cs="Calibri"/>
                <w:b/>
                <w:bCs/>
                <w:lang w:eastAsia="en-GB"/>
              </w:rPr>
            </w:pPr>
            <w:r w:rsidRPr="0081325D">
              <w:rPr>
                <w:rFonts w:ascii="Calibri" w:hAnsi="Calibri" w:cs="Calibri"/>
                <w:b/>
                <w:bCs/>
                <w:lang w:eastAsia="en-GB"/>
              </w:rPr>
              <w:t>435</w:t>
            </w:r>
          </w:p>
        </w:tc>
        <w:tc>
          <w:tcPr>
            <w:tcW w:w="959" w:type="pct"/>
            <w:tcBorders>
              <w:top w:val="single" w:sz="4" w:space="0" w:color="auto"/>
              <w:left w:val="nil"/>
              <w:bottom w:val="single" w:sz="4" w:space="0" w:color="auto"/>
              <w:right w:val="nil"/>
            </w:tcBorders>
            <w:shd w:val="clear" w:color="000000" w:fill="FFFFFF"/>
            <w:noWrap/>
            <w:vAlign w:val="center"/>
            <w:hideMark/>
          </w:tcPr>
          <w:p w14:paraId="45373CF1" w14:textId="77777777" w:rsidR="00214E71" w:rsidRPr="0081325D" w:rsidRDefault="00214E71" w:rsidP="00382B43">
            <w:pPr>
              <w:jc w:val="right"/>
              <w:rPr>
                <w:rFonts w:ascii="Calibri" w:hAnsi="Calibri" w:cs="Calibri"/>
                <w:b/>
                <w:bCs/>
                <w:lang w:eastAsia="en-GB"/>
              </w:rPr>
            </w:pPr>
            <w:r w:rsidRPr="0081325D">
              <w:rPr>
                <w:rFonts w:ascii="Calibri" w:hAnsi="Calibri" w:cs="Calibri"/>
                <w:b/>
                <w:bCs/>
                <w:lang w:eastAsia="en-GB"/>
              </w:rPr>
              <w:t>1,524</w:t>
            </w:r>
          </w:p>
        </w:tc>
      </w:tr>
    </w:tbl>
    <w:p w14:paraId="43D9E893" w14:textId="77777777" w:rsidR="008D46A2" w:rsidRPr="00B052BF" w:rsidRDefault="008D46A2" w:rsidP="00055232">
      <w:pPr>
        <w:pStyle w:val="Heading1"/>
        <w:spacing w:before="80"/>
        <w:ind w:left="0" w:right="4171"/>
        <w:rPr>
          <w:lang w:val="en-GB"/>
        </w:rPr>
      </w:pPr>
    </w:p>
    <w:sectPr w:rsidR="008D46A2" w:rsidRPr="00B052BF" w:rsidSect="00054980">
      <w:pgSz w:w="11910" w:h="16840"/>
      <w:pgMar w:top="134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F7A87"/>
    <w:multiLevelType w:val="hybridMultilevel"/>
    <w:tmpl w:val="99C8FB7E"/>
    <w:lvl w:ilvl="0" w:tplc="C248F3EE">
      <w:numFmt w:val="bullet"/>
      <w:lvlText w:val="•"/>
      <w:lvlJc w:val="left"/>
      <w:pPr>
        <w:ind w:left="220" w:hanging="133"/>
      </w:pPr>
      <w:rPr>
        <w:rFonts w:ascii="Times New Roman" w:eastAsia="Times New Roman" w:hAnsi="Times New Roman" w:cs="Times New Roman" w:hint="default"/>
        <w:b w:val="0"/>
        <w:bCs w:val="0"/>
        <w:i w:val="0"/>
        <w:iCs w:val="0"/>
        <w:w w:val="100"/>
        <w:sz w:val="22"/>
        <w:szCs w:val="22"/>
        <w:lang w:val="en-US" w:eastAsia="en-US" w:bidi="ar-SA"/>
      </w:rPr>
    </w:lvl>
    <w:lvl w:ilvl="1" w:tplc="A86265AC">
      <w:numFmt w:val="bullet"/>
      <w:lvlText w:val="•"/>
      <w:lvlJc w:val="left"/>
      <w:pPr>
        <w:ind w:left="1134" w:hanging="133"/>
      </w:pPr>
      <w:rPr>
        <w:rFonts w:hint="default"/>
        <w:lang w:val="en-US" w:eastAsia="en-US" w:bidi="ar-SA"/>
      </w:rPr>
    </w:lvl>
    <w:lvl w:ilvl="2" w:tplc="0232873A">
      <w:numFmt w:val="bullet"/>
      <w:lvlText w:val="•"/>
      <w:lvlJc w:val="left"/>
      <w:pPr>
        <w:ind w:left="2049" w:hanging="133"/>
      </w:pPr>
      <w:rPr>
        <w:rFonts w:hint="default"/>
        <w:lang w:val="en-US" w:eastAsia="en-US" w:bidi="ar-SA"/>
      </w:rPr>
    </w:lvl>
    <w:lvl w:ilvl="3" w:tplc="4A2AA2E8">
      <w:numFmt w:val="bullet"/>
      <w:lvlText w:val="•"/>
      <w:lvlJc w:val="left"/>
      <w:pPr>
        <w:ind w:left="2963" w:hanging="133"/>
      </w:pPr>
      <w:rPr>
        <w:rFonts w:hint="default"/>
        <w:lang w:val="en-US" w:eastAsia="en-US" w:bidi="ar-SA"/>
      </w:rPr>
    </w:lvl>
    <w:lvl w:ilvl="4" w:tplc="0B74BDD4">
      <w:numFmt w:val="bullet"/>
      <w:lvlText w:val="•"/>
      <w:lvlJc w:val="left"/>
      <w:pPr>
        <w:ind w:left="3878" w:hanging="133"/>
      </w:pPr>
      <w:rPr>
        <w:rFonts w:hint="default"/>
        <w:lang w:val="en-US" w:eastAsia="en-US" w:bidi="ar-SA"/>
      </w:rPr>
    </w:lvl>
    <w:lvl w:ilvl="5" w:tplc="26D2D14A">
      <w:numFmt w:val="bullet"/>
      <w:lvlText w:val="•"/>
      <w:lvlJc w:val="left"/>
      <w:pPr>
        <w:ind w:left="4793" w:hanging="133"/>
      </w:pPr>
      <w:rPr>
        <w:rFonts w:hint="default"/>
        <w:lang w:val="en-US" w:eastAsia="en-US" w:bidi="ar-SA"/>
      </w:rPr>
    </w:lvl>
    <w:lvl w:ilvl="6" w:tplc="8AA20156">
      <w:numFmt w:val="bullet"/>
      <w:lvlText w:val="•"/>
      <w:lvlJc w:val="left"/>
      <w:pPr>
        <w:ind w:left="5707" w:hanging="133"/>
      </w:pPr>
      <w:rPr>
        <w:rFonts w:hint="default"/>
        <w:lang w:val="en-US" w:eastAsia="en-US" w:bidi="ar-SA"/>
      </w:rPr>
    </w:lvl>
    <w:lvl w:ilvl="7" w:tplc="BF3854DA">
      <w:numFmt w:val="bullet"/>
      <w:lvlText w:val="•"/>
      <w:lvlJc w:val="left"/>
      <w:pPr>
        <w:ind w:left="6622" w:hanging="133"/>
      </w:pPr>
      <w:rPr>
        <w:rFonts w:hint="default"/>
        <w:lang w:val="en-US" w:eastAsia="en-US" w:bidi="ar-SA"/>
      </w:rPr>
    </w:lvl>
    <w:lvl w:ilvl="8" w:tplc="C9F67EB0">
      <w:numFmt w:val="bullet"/>
      <w:lvlText w:val="•"/>
      <w:lvlJc w:val="left"/>
      <w:pPr>
        <w:ind w:left="7537" w:hanging="133"/>
      </w:pPr>
      <w:rPr>
        <w:rFonts w:hint="default"/>
        <w:lang w:val="en-US" w:eastAsia="en-US" w:bidi="ar-SA"/>
      </w:rPr>
    </w:lvl>
  </w:abstractNum>
  <w:num w:numId="1" w16cid:durableId="295839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2"/>
    <w:rsid w:val="00054980"/>
    <w:rsid w:val="00055232"/>
    <w:rsid w:val="000B0647"/>
    <w:rsid w:val="00214E71"/>
    <w:rsid w:val="00265592"/>
    <w:rsid w:val="0029255E"/>
    <w:rsid w:val="002F6B41"/>
    <w:rsid w:val="0034160E"/>
    <w:rsid w:val="00464818"/>
    <w:rsid w:val="00522414"/>
    <w:rsid w:val="00554104"/>
    <w:rsid w:val="005A3903"/>
    <w:rsid w:val="0063192A"/>
    <w:rsid w:val="00634ECC"/>
    <w:rsid w:val="00681A2E"/>
    <w:rsid w:val="00710DA2"/>
    <w:rsid w:val="007D0A5F"/>
    <w:rsid w:val="008D46A2"/>
    <w:rsid w:val="0092219A"/>
    <w:rsid w:val="00927167"/>
    <w:rsid w:val="00975A71"/>
    <w:rsid w:val="009C0161"/>
    <w:rsid w:val="00B052BF"/>
    <w:rsid w:val="00B10372"/>
    <w:rsid w:val="00B10424"/>
    <w:rsid w:val="00B11AEE"/>
    <w:rsid w:val="00BC5427"/>
    <w:rsid w:val="00C937B8"/>
    <w:rsid w:val="00CD167E"/>
    <w:rsid w:val="00D0539A"/>
    <w:rsid w:val="00D4644B"/>
    <w:rsid w:val="00E008BF"/>
    <w:rsid w:val="00ED6D28"/>
    <w:rsid w:val="00FA7B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F6A8"/>
  <w15:docId w15:val="{82E1DAEE-633B-43D7-9661-92FCC051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1"/>
      <w:ind w:left="2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34ECC"/>
    <w:rPr>
      <w:color w:val="0000FF"/>
      <w:u w:val="single"/>
    </w:rPr>
  </w:style>
  <w:style w:type="character" w:styleId="UnresolvedMention">
    <w:name w:val="Unresolved Mention"/>
    <w:basedOn w:val="DefaultParagraphFont"/>
    <w:uiPriority w:val="99"/>
    <w:semiHidden/>
    <w:unhideWhenUsed/>
    <w:rsid w:val="00634ECC"/>
    <w:rPr>
      <w:color w:val="605E5C"/>
      <w:shd w:val="clear" w:color="auto" w:fill="E1DFDD"/>
    </w:rPr>
  </w:style>
  <w:style w:type="paragraph" w:styleId="Revision">
    <w:name w:val="Revision"/>
    <w:hidden/>
    <w:uiPriority w:val="99"/>
    <w:semiHidden/>
    <w:rsid w:val="0092219A"/>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319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larifypharma.com/" TargetMode="External"/><Relationship Id="rId3" Type="http://schemas.openxmlformats.org/officeDocument/2006/relationships/numbering" Target="numbering.xml"/><Relationship Id="rId7" Type="http://schemas.openxmlformats.org/officeDocument/2006/relationships/hyperlink" Target="https://www.clarifypharma.com/invest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5DF16B164AC40897B1EAA85659224" ma:contentTypeVersion="19" ma:contentTypeDescription="Create a new document." ma:contentTypeScope="" ma:versionID="ada42a729bebb0d6be3f0468f06676f6">
  <xsd:schema xmlns:xsd="http://www.w3.org/2001/XMLSchema" xmlns:xs="http://www.w3.org/2001/XMLSchema" xmlns:p="http://schemas.microsoft.com/office/2006/metadata/properties" xmlns:ns1="http://schemas.microsoft.com/sharepoint/v3" xmlns:ns2="9c1a29f6-4ab4-4881-b5da-4b1cecc694cd" xmlns:ns3="5c71759f-a0e4-40a2-8362-0d96b5d18177" xmlns:ns4="91b90817-34a2-43ec-a2b9-251524f995bf" targetNamespace="http://schemas.microsoft.com/office/2006/metadata/properties" ma:root="true" ma:fieldsID="d3d705716b13a741e233a71ed81d6785" ns1:_="" ns2:_="" ns3:_="" ns4:_="">
    <xsd:import namespace="http://schemas.microsoft.com/sharepoint/v3"/>
    <xsd:import namespace="9c1a29f6-4ab4-4881-b5da-4b1cecc694cd"/>
    <xsd:import namespace="5c71759f-a0e4-40a2-8362-0d96b5d18177"/>
    <xsd:import namespace="91b90817-34a2-43ec-a2b9-251524f995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Date_x0020_and_x0020_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a29f6-4ab4-4881-b5da-4b1cecc6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_x0020_and_x0020_Time" ma:index="22" nillable="true" ma:displayName="Date and Time" ma:format="DateOnly" ma:internalName="Date_x0020_and_x0020_Time">
      <xsd:simpleType>
        <xsd:restriction base="dms:DateTim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1c850a-09bf-4b5a-a2a8-39c1d3dc78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71759f-a0e4-40a2-8362-0d96b5d181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90817-34a2-43ec-a2b9-251524f995bf"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9a86a5f-244d-4ff6-becd-4b6bca75d8d5}" ma:internalName="TaxCatchAll" ma:showField="CatchAllData" ma:web="91b90817-34a2-43ec-a2b9-251524f99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B6BB5-AA85-4402-9ACC-BE4701C596FB}">
  <ds:schemaRefs>
    <ds:schemaRef ds:uri="http://schemas.microsoft.com/sharepoint/v3/contenttype/forms"/>
  </ds:schemaRefs>
</ds:datastoreItem>
</file>

<file path=customXml/itemProps2.xml><?xml version="1.0" encoding="utf-8"?>
<ds:datastoreItem xmlns:ds="http://schemas.openxmlformats.org/officeDocument/2006/customXml" ds:itemID="{AAF4E0BC-991F-4746-8D7C-B99938164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1a29f6-4ab4-4881-b5da-4b1cecc694cd"/>
    <ds:schemaRef ds:uri="5c71759f-a0e4-40a2-8362-0d96b5d18177"/>
    <ds:schemaRef ds:uri="91b90817-34a2-43ec-a2b9-251524f99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Hodges</dc:creator>
  <cp:lastModifiedBy>Jenny Liu</cp:lastModifiedBy>
  <cp:revision>4</cp:revision>
  <dcterms:created xsi:type="dcterms:W3CDTF">2023-05-29T22:55:00Z</dcterms:created>
  <dcterms:modified xsi:type="dcterms:W3CDTF">2023-05-29T23:38:00Z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for Microsoft 365</vt:lpwstr>
  </property>
  <property fmtid="{D5CDD505-2E9C-101B-9397-08002B2CF9AE}" pid="4" name="LastSaved">
    <vt:filetime>2023-05-16T00:00:00Z</vt:filetime>
  </property>
  <property fmtid="{D5CDD505-2E9C-101B-9397-08002B2CF9AE}" pid="5" name="Producer">
    <vt:lpwstr>Microsoft® Word for Microsoft 365</vt:lpwstr>
  </property>
</Properties>
</file>